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3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30.xml" ContentType="application/vnd.openxmlformats-officedocument.wordprocessingml.header+xml"/>
  <Override PartName="/word/footer15.xml" ContentType="application/vnd.openxmlformats-officedocument.wordprocessingml.footer+xml"/>
  <Default Extension="wdp" ContentType="image/vnd.ms-photo"/>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Default Extension="emf" ContentType="image/x-emf"/>
  <Override PartName="/word/footer6.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D6B" w:rsidRDefault="00082223"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8" cstate="print">
                      <a:clrChange>
                        <a:clrFrom>
                          <a:srgbClr val="FFFFFF"/>
                        </a:clrFrom>
                        <a:clrTo>
                          <a:srgbClr val="FFFFFF">
                            <a:alpha val="0"/>
                          </a:srgbClr>
                        </a:clrTo>
                      </a:clrChange>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082223" w:rsidP="00E96BB3">
      <w:pPr>
        <w:tabs>
          <w:tab w:val="center" w:pos="4680"/>
        </w:tabs>
        <w:rPr>
          <w:rFonts w:ascii="Times New Roman Bold" w:hAnsi="Times New Roman Bold"/>
          <w:smallCaps/>
          <w:sz w:val="48"/>
        </w:rPr>
      </w:pPr>
      <w:r w:rsidRPr="00082223">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sidRPr="00082223">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DF3F0E" w:rsidRPr="004D4FA4" w:rsidRDefault="003B3D45" w:rsidP="00DF3F0E">
      <w:pPr>
        <w:tabs>
          <w:tab w:val="center" w:pos="4680"/>
        </w:tabs>
        <w:jc w:val="center"/>
        <w:rPr>
          <w:rFonts w:ascii="Times New Roman Bold" w:hAnsi="Times New Roman Bold"/>
          <w:smallCaps/>
          <w:sz w:val="48"/>
        </w:rPr>
      </w:pPr>
      <w:r>
        <w:rPr>
          <w:rFonts w:ascii="Times New Roman Bold" w:hAnsi="Times New Roman Bold"/>
          <w:smallCaps/>
          <w:sz w:val="36"/>
        </w:rPr>
        <w:t>CONSTRUCTION OF MASONRY DRAINAGE</w:t>
      </w:r>
      <w:r w:rsidR="00A84F8D">
        <w:rPr>
          <w:rFonts w:ascii="Times New Roman Bold" w:hAnsi="Times New Roman Bold"/>
          <w:smallCaps/>
          <w:sz w:val="36"/>
        </w:rPr>
        <w:t xml:space="preserve"> STRUCTURE</w:t>
      </w:r>
    </w:p>
    <w:p w:rsidR="00A3027C" w:rsidRDefault="00A84F8D" w:rsidP="005269C4">
      <w:pPr>
        <w:tabs>
          <w:tab w:val="center" w:pos="4680"/>
        </w:tabs>
        <w:ind w:left="-180"/>
        <w:jc w:val="center"/>
        <w:rPr>
          <w:rFonts w:ascii="Times New Roman Bold" w:hAnsi="Times New Roman Bold"/>
          <w:smallCaps/>
          <w:sz w:val="36"/>
        </w:rPr>
      </w:pPr>
      <w:r>
        <w:rPr>
          <w:rFonts w:ascii="Times New Roman Bold" w:hAnsi="Times New Roman Bold"/>
          <w:smallCaps/>
          <w:sz w:val="30"/>
        </w:rPr>
        <w:t>ARAO</w:t>
      </w:r>
      <w:r w:rsidR="003B3D45">
        <w:rPr>
          <w:rFonts w:ascii="Times New Roman Bold" w:hAnsi="Times New Roman Bold"/>
          <w:smallCaps/>
          <w:sz w:val="30"/>
        </w:rPr>
        <w:t xml:space="preserve"> ST.</w:t>
      </w:r>
      <w:r>
        <w:rPr>
          <w:rFonts w:ascii="Times New Roman Bold" w:hAnsi="Times New Roman Bold"/>
          <w:smallCaps/>
          <w:sz w:val="30"/>
        </w:rPr>
        <w:t xml:space="preserve"> EXTENSION</w:t>
      </w:r>
      <w:r w:rsidR="003B3D45">
        <w:rPr>
          <w:rFonts w:ascii="Times New Roman Bold" w:hAnsi="Times New Roman Bold"/>
          <w:smallCaps/>
          <w:sz w:val="30"/>
        </w:rPr>
        <w:t xml:space="preserve">, </w:t>
      </w:r>
      <w:r>
        <w:rPr>
          <w:rFonts w:ascii="Times New Roman Bold" w:hAnsi="Times New Roman Bold"/>
          <w:smallCaps/>
          <w:sz w:val="30"/>
        </w:rPr>
        <w:t>UGAC</w:t>
      </w:r>
      <w:r w:rsidR="003B3D45">
        <w:rPr>
          <w:rFonts w:ascii="Times New Roman Bold" w:hAnsi="Times New Roman Bold"/>
          <w:smallCaps/>
          <w:sz w:val="30"/>
        </w:rPr>
        <w:t xml:space="preserve"> SUR</w:t>
      </w:r>
      <w:r w:rsidR="00DF3F0E">
        <w:rPr>
          <w:rFonts w:ascii="Times New Roman Bold" w:hAnsi="Times New Roman Bold"/>
          <w:smallCaps/>
          <w:sz w:val="30"/>
        </w:rPr>
        <w:t>,</w:t>
      </w:r>
      <w:r w:rsidR="00DF3F0E">
        <w:rPr>
          <w:rFonts w:ascii="Times New Roman Bold" w:hAnsi="Times New Roman Bold"/>
          <w:smallCaps/>
          <w:sz w:val="36"/>
        </w:rPr>
        <w:t xml:space="preserve"> </w:t>
      </w:r>
      <w:r w:rsidR="00DF3F0E" w:rsidRPr="004A5461">
        <w:rPr>
          <w:rFonts w:ascii="Times New Roman Bold" w:hAnsi="Times New Roman Bold"/>
          <w:smallCaps/>
          <w:sz w:val="36"/>
        </w:rPr>
        <w:t>tuguegarao city</w:t>
      </w:r>
      <w:r w:rsidR="004C7D88" w:rsidRPr="005D0B7D">
        <w:rPr>
          <w:rFonts w:ascii="Times New Roman Bold" w:hAnsi="Times New Roman Bold"/>
          <w:smallCaps/>
          <w:sz w:val="36"/>
        </w:rPr>
        <w:t xml:space="preserve"> </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B47C84" w:rsidP="00F309BD">
      <w:pPr>
        <w:tabs>
          <w:tab w:val="center" w:pos="4680"/>
        </w:tabs>
        <w:jc w:val="center"/>
        <w:rPr>
          <w:rFonts w:ascii="Times New Roman Bold" w:hAnsi="Times New Roman Bold"/>
          <w:smallCaps/>
          <w:sz w:val="48"/>
        </w:rPr>
      </w:pPr>
      <w:r>
        <w:rPr>
          <w:rFonts w:ascii="Times New Roman Bold" w:hAnsi="Times New Roman Bold"/>
          <w:smallCaps/>
          <w:sz w:val="36"/>
        </w:rPr>
        <w:t>PB NO. INF-2021</w:t>
      </w:r>
      <w:r w:rsidR="000E506E" w:rsidRPr="004D4FA4">
        <w:rPr>
          <w:rFonts w:ascii="Times New Roman Bold" w:hAnsi="Times New Roman Bold"/>
          <w:smallCaps/>
          <w:sz w:val="36"/>
        </w:rPr>
        <w:t>-</w:t>
      </w:r>
      <w:r w:rsidR="00072F55">
        <w:rPr>
          <w:rFonts w:ascii="Times New Roman Bold" w:hAnsi="Times New Roman Bold"/>
          <w:smallCaps/>
          <w:sz w:val="36"/>
        </w:rPr>
        <w:t>0</w:t>
      </w:r>
      <w:r w:rsidR="003B3D45">
        <w:rPr>
          <w:rFonts w:ascii="Times New Roman Bold" w:hAnsi="Times New Roman Bold"/>
          <w:smallCaps/>
          <w:sz w:val="36"/>
        </w:rPr>
        <w:t>1</w:t>
      </w:r>
      <w:r w:rsidR="00A84F8D">
        <w:rPr>
          <w:rFonts w:ascii="Times New Roman Bold" w:hAnsi="Times New Roman Bold"/>
          <w:smallCaps/>
          <w:sz w:val="36"/>
        </w:rPr>
        <w:t>0</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082223" w:rsidP="00661E0C">
      <w:pPr>
        <w:rPr>
          <w:sz w:val="36"/>
        </w:rPr>
      </w:pPr>
      <w:r w:rsidRPr="00082223">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0"/>
          <w:footerReference w:type="default" r:id="rId11"/>
          <w:headerReference w:type="first" r:id="rId12"/>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Invitation To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To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V.</w:t>
      </w:r>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To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City Hall, Carig, Tuguegarao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97369F" w:rsidRDefault="003D05F0" w:rsidP="0097369F">
      <w:pPr>
        <w:tabs>
          <w:tab w:val="center" w:pos="4680"/>
        </w:tabs>
        <w:jc w:val="center"/>
        <w:rPr>
          <w:rFonts w:ascii="Times New Roman Bold" w:hAnsi="Times New Roman Bold"/>
          <w:smallCaps/>
          <w:sz w:val="34"/>
          <w:szCs w:val="50"/>
        </w:rPr>
      </w:pPr>
      <w:r w:rsidRPr="005075AD">
        <w:rPr>
          <w:rFonts w:ascii="Times New Roman Bold" w:hAnsi="Times New Roman Bold"/>
          <w:smallCaps/>
          <w:sz w:val="32"/>
          <w:szCs w:val="50"/>
        </w:rPr>
        <w:t xml:space="preserve">CONSTRUCTION OF </w:t>
      </w:r>
      <w:r w:rsidR="008D262F" w:rsidRPr="005075AD">
        <w:rPr>
          <w:rFonts w:ascii="Times New Roman Bold" w:hAnsi="Times New Roman Bold"/>
          <w:smallCaps/>
          <w:sz w:val="32"/>
          <w:szCs w:val="50"/>
        </w:rPr>
        <w:t xml:space="preserve">MASONRY </w:t>
      </w:r>
      <w:r w:rsidRPr="005075AD">
        <w:rPr>
          <w:rFonts w:ascii="Times New Roman Bold" w:hAnsi="Times New Roman Bold"/>
          <w:smallCaps/>
          <w:sz w:val="32"/>
          <w:szCs w:val="50"/>
        </w:rPr>
        <w:t>DRAINAGE</w:t>
      </w:r>
      <w:r w:rsidR="005075AD" w:rsidRPr="005075AD">
        <w:rPr>
          <w:rFonts w:ascii="Times New Roman Bold" w:hAnsi="Times New Roman Bold"/>
          <w:smallCaps/>
          <w:sz w:val="32"/>
          <w:szCs w:val="50"/>
        </w:rPr>
        <w:t xml:space="preserve"> STRUCTURE</w:t>
      </w:r>
      <w:r>
        <w:rPr>
          <w:rFonts w:ascii="Times New Roman Bold" w:hAnsi="Times New Roman Bold"/>
          <w:smallCaps/>
          <w:sz w:val="36"/>
          <w:szCs w:val="50"/>
        </w:rPr>
        <w:t xml:space="preserve"> </w:t>
      </w:r>
    </w:p>
    <w:p w:rsidR="00A830A6" w:rsidRPr="0097369F" w:rsidRDefault="005075AD" w:rsidP="005269C4">
      <w:pPr>
        <w:tabs>
          <w:tab w:val="center" w:pos="4680"/>
        </w:tabs>
        <w:jc w:val="center"/>
        <w:rPr>
          <w:rFonts w:ascii="Times New Roman Bold" w:hAnsi="Times New Roman Bold"/>
          <w:smallCaps/>
          <w:sz w:val="36"/>
          <w:szCs w:val="50"/>
        </w:rPr>
      </w:pPr>
      <w:r>
        <w:rPr>
          <w:rFonts w:ascii="Times New Roman Bold" w:hAnsi="Times New Roman Bold"/>
          <w:smallCaps/>
          <w:sz w:val="32"/>
          <w:szCs w:val="50"/>
        </w:rPr>
        <w:t>arao street extension</w:t>
      </w:r>
      <w:r w:rsidR="003D05F0" w:rsidRPr="005075AD">
        <w:rPr>
          <w:rFonts w:ascii="Times New Roman Bold" w:hAnsi="Times New Roman Bold"/>
          <w:smallCaps/>
          <w:sz w:val="32"/>
          <w:szCs w:val="50"/>
        </w:rPr>
        <w:t xml:space="preserve">, </w:t>
      </w:r>
      <w:r>
        <w:rPr>
          <w:rFonts w:ascii="Times New Roman Bold" w:hAnsi="Times New Roman Bold"/>
          <w:smallCaps/>
          <w:sz w:val="32"/>
          <w:szCs w:val="50"/>
        </w:rPr>
        <w:t>ugac sur</w:t>
      </w:r>
      <w:r w:rsidR="00231F3D" w:rsidRPr="005075AD">
        <w:rPr>
          <w:rFonts w:ascii="Times New Roman Bold" w:hAnsi="Times New Roman Bold"/>
          <w:smallCaps/>
          <w:sz w:val="32"/>
          <w:szCs w:val="50"/>
        </w:rPr>
        <w:t>,</w:t>
      </w:r>
      <w:r w:rsidR="005269C4" w:rsidRPr="005075AD">
        <w:rPr>
          <w:rFonts w:ascii="Times New Roman Bold" w:hAnsi="Times New Roman Bold"/>
          <w:smallCaps/>
          <w:sz w:val="32"/>
          <w:szCs w:val="50"/>
        </w:rPr>
        <w:t xml:space="preserve"> </w:t>
      </w:r>
      <w:r w:rsidR="00A830A6" w:rsidRPr="005075AD">
        <w:rPr>
          <w:rFonts w:ascii="Times New Roman Bold" w:hAnsi="Times New Roman Bold"/>
          <w:smallCaps/>
          <w:sz w:val="32"/>
          <w:szCs w:val="50"/>
        </w:rPr>
        <w:t>tuguegarao city</w:t>
      </w:r>
    </w:p>
    <w:p w:rsidR="0011307E" w:rsidRPr="00B83379" w:rsidRDefault="0011307E" w:rsidP="0011307E">
      <w:pPr>
        <w:ind w:right="-961"/>
        <w:rPr>
          <w:rFonts w:ascii="Times New Roman Bold" w:hAnsi="Times New Roman Bold"/>
          <w:smallCaps/>
          <w:sz w:val="20"/>
          <w:szCs w:val="32"/>
        </w:rPr>
      </w:pPr>
    </w:p>
    <w:p w:rsidR="0011307E" w:rsidRPr="004D4FA4" w:rsidRDefault="005075AD"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PB-INF-2021-010</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6A03AC">
        <w:rPr>
          <w:sz w:val="28"/>
        </w:rPr>
        <w:t>March 30</w:t>
      </w:r>
      <w:r w:rsidR="005075AD">
        <w:rPr>
          <w:sz w:val="28"/>
        </w:rPr>
        <w:t>, 2021</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The City Government of Tuguegarao, through the</w:t>
      </w:r>
      <w:r>
        <w:rPr>
          <w:spacing w:val="-2"/>
        </w:rPr>
        <w:t xml:space="preserve"> </w:t>
      </w:r>
      <w:r w:rsidR="003D05F0">
        <w:rPr>
          <w:spacing w:val="-2"/>
        </w:rPr>
        <w:t>20% Development</w:t>
      </w:r>
      <w:r w:rsidR="005075AD">
        <w:rPr>
          <w:spacing w:val="-2"/>
        </w:rPr>
        <w:t xml:space="preserve"> Fund for Calendar Year 2021</w:t>
      </w:r>
      <w:r w:rsidRPr="004D4FA4">
        <w:rPr>
          <w:spacing w:val="-2"/>
        </w:rPr>
        <w:t xml:space="preserve">, intends to apply </w:t>
      </w:r>
      <w:r>
        <w:rPr>
          <w:spacing w:val="-2"/>
        </w:rPr>
        <w:t xml:space="preserve">the sum </w:t>
      </w:r>
      <w:r w:rsidR="00162A66">
        <w:rPr>
          <w:spacing w:val="-2"/>
        </w:rPr>
        <w:t>of Two</w:t>
      </w:r>
      <w:r w:rsidR="006D2A81">
        <w:rPr>
          <w:spacing w:val="-2"/>
        </w:rPr>
        <w:t xml:space="preserve"> Million</w:t>
      </w:r>
      <w:r w:rsidR="003D05F0">
        <w:rPr>
          <w:spacing w:val="-2"/>
        </w:rPr>
        <w:t xml:space="preserve"> </w:t>
      </w:r>
      <w:r w:rsidR="00162A66">
        <w:rPr>
          <w:spacing w:val="-2"/>
        </w:rPr>
        <w:t>Five Hundred Forty</w:t>
      </w:r>
      <w:r w:rsidR="003D05F0">
        <w:rPr>
          <w:spacing w:val="-2"/>
        </w:rPr>
        <w:t xml:space="preserve"> Thousand</w:t>
      </w:r>
      <w:r w:rsidR="00162A66">
        <w:rPr>
          <w:spacing w:val="-2"/>
        </w:rPr>
        <w:t xml:space="preserve"> Eighty Six</w:t>
      </w:r>
      <w:r w:rsidR="003D05F0">
        <w:rPr>
          <w:spacing w:val="-2"/>
        </w:rPr>
        <w:t xml:space="preserve"> Pesos</w:t>
      </w:r>
      <w:r w:rsidR="00162A66">
        <w:rPr>
          <w:spacing w:val="-2"/>
        </w:rPr>
        <w:t xml:space="preserve"> and Sixty Centavos</w:t>
      </w:r>
      <w:r w:rsidR="005269C4">
        <w:rPr>
          <w:spacing w:val="-2"/>
        </w:rPr>
        <w:t xml:space="preserve"> (Php</w:t>
      </w:r>
      <w:r w:rsidR="00162A66">
        <w:rPr>
          <w:spacing w:val="-2"/>
        </w:rPr>
        <w:t>2,540,086.6</w:t>
      </w:r>
      <w:r>
        <w:rPr>
          <w:spacing w:val="-2"/>
        </w:rPr>
        <w:t>0)</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Construction of </w:t>
      </w:r>
      <w:r w:rsidR="008D262F">
        <w:rPr>
          <w:spacing w:val="-2"/>
        </w:rPr>
        <w:t>Masonry Drainage</w:t>
      </w:r>
      <w:r w:rsidR="00162A66">
        <w:rPr>
          <w:spacing w:val="-2"/>
        </w:rPr>
        <w:t xml:space="preserve"> Structure</w:t>
      </w:r>
      <w:r w:rsidR="003D05F0">
        <w:rPr>
          <w:spacing w:val="-2"/>
        </w:rPr>
        <w:t>,</w:t>
      </w:r>
      <w:r w:rsidR="005269C4">
        <w:rPr>
          <w:spacing w:val="-2"/>
        </w:rPr>
        <w:t xml:space="preserve"> </w:t>
      </w:r>
      <w:r w:rsidR="00162A66">
        <w:rPr>
          <w:spacing w:val="-2"/>
        </w:rPr>
        <w:t>Arao Street Extension</w:t>
      </w:r>
      <w:r w:rsidR="003D05F0">
        <w:rPr>
          <w:spacing w:val="-2"/>
        </w:rPr>
        <w:t xml:space="preserve">, </w:t>
      </w:r>
      <w:r w:rsidR="00162A66">
        <w:rPr>
          <w:spacing w:val="-2"/>
        </w:rPr>
        <w:t>Ugac</w:t>
      </w:r>
      <w:r w:rsidR="003D05F0">
        <w:rPr>
          <w:spacing w:val="-2"/>
        </w:rPr>
        <w:t xml:space="preserve"> Sur</w:t>
      </w:r>
      <w:r w:rsidR="005269C4">
        <w:rPr>
          <w:spacing w:val="-2"/>
        </w:rPr>
        <w:t>, Tuguegarao City</w:t>
      </w:r>
      <w:r w:rsidR="00162A66">
        <w:rPr>
          <w:spacing w:val="-2"/>
        </w:rPr>
        <w:t xml:space="preserve"> under PB-INF-2021-010</w:t>
      </w:r>
      <w:r w:rsidR="005269C4">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The City Government of Tuguegarao now invites bids for the above-captioned Infrastructure Project.</w:t>
      </w:r>
      <w:r w:rsidRPr="004D4FA4">
        <w:rPr>
          <w:rStyle w:val="FootnoteReference"/>
        </w:rPr>
        <w:t xml:space="preserve"> </w:t>
      </w:r>
      <w:r w:rsidRPr="004D4FA4">
        <w:rPr>
          <w:spacing w:val="-2"/>
        </w:rPr>
        <w:t xml:space="preserve">Completion of Work is required </w:t>
      </w:r>
      <w:r w:rsidR="001C501A">
        <w:rPr>
          <w:spacing w:val="-2"/>
        </w:rPr>
        <w:t>within Ninety (9</w:t>
      </w:r>
      <w:r>
        <w:rPr>
          <w:spacing w:val="-2"/>
        </w:rPr>
        <w:t>0)</w:t>
      </w:r>
      <w:r w:rsidRPr="004D4FA4">
        <w:rPr>
          <w:spacing w:val="-2"/>
        </w:rPr>
        <w:t xml:space="preserve"> Calendar Days</w:t>
      </w:r>
      <w:r>
        <w:rPr>
          <w:spacing w:val="-2"/>
        </w:rPr>
        <w:t xml:space="preserve"> from the issuance of the Notice To Proceed. Bidders should have completed a </w:t>
      </w:r>
      <w:r w:rsidRPr="004D4FA4">
        <w:rPr>
          <w:spacing w:val="-2"/>
        </w:rPr>
        <w:t>contract similar to the Project. The description of an eligible bidder is contained in the Bidding Documents, particularly, in Section II. Instruction To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Interested bidders may obtain further information from the City Government of Tuguegarao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t xml:space="preserve">A complete set of Bidding Documents may be purchased by interested Bidders on     </w:t>
      </w:r>
      <w:r w:rsidR="00C64D24">
        <w:rPr>
          <w:spacing w:val="-2"/>
        </w:rPr>
        <w:t>March 30</w:t>
      </w:r>
      <w:r w:rsidR="00394423" w:rsidRPr="00AC0279">
        <w:rPr>
          <w:spacing w:val="-2"/>
        </w:rPr>
        <w:t xml:space="preserve">, </w:t>
      </w:r>
      <w:r w:rsidR="005510FA">
        <w:rPr>
          <w:spacing w:val="-2"/>
        </w:rPr>
        <w:t>202</w:t>
      </w:r>
      <w:bookmarkStart w:id="216" w:name="_GoBack"/>
      <w:bookmarkEnd w:id="216"/>
      <w:r w:rsidR="00C64D24">
        <w:rPr>
          <w:spacing w:val="-2"/>
        </w:rPr>
        <w:t>1</w:t>
      </w:r>
      <w:r w:rsidR="007524D6">
        <w:rPr>
          <w:spacing w:val="-2"/>
        </w:rPr>
        <w:t xml:space="preserve"> until </w:t>
      </w:r>
      <w:r w:rsidR="00C64D24">
        <w:rPr>
          <w:spacing w:val="-2"/>
        </w:rPr>
        <w:t>April 20</w:t>
      </w:r>
      <w:r w:rsidR="00771283">
        <w:rPr>
          <w:spacing w:val="-2"/>
        </w:rPr>
        <w:t xml:space="preserve">, </w:t>
      </w:r>
      <w:r w:rsidR="002316D3">
        <w:rPr>
          <w:spacing w:val="-2"/>
        </w:rPr>
        <w:t>2021</w:t>
      </w:r>
      <w:r w:rsidRPr="00AC0279">
        <w:rPr>
          <w:spacing w:val="-2"/>
        </w:rPr>
        <w:t xml:space="preserve"> from the address below and upon pay</w:t>
      </w:r>
      <w:r w:rsidR="00E22296">
        <w:rPr>
          <w:spacing w:val="-2"/>
        </w:rPr>
        <w:t>ment of a non-refundable fee of</w:t>
      </w:r>
      <w:r w:rsidR="00B01751">
        <w:rPr>
          <w:b/>
          <w:spacing w:val="-2"/>
        </w:rPr>
        <w:t xml:space="preserve"> </w:t>
      </w:r>
      <w:r w:rsidR="003D05F0">
        <w:rPr>
          <w:b/>
          <w:spacing w:val="-2"/>
        </w:rPr>
        <w:t>Five</w:t>
      </w:r>
      <w:r w:rsidR="0021658D" w:rsidRPr="00AC0279">
        <w:rPr>
          <w:b/>
          <w:spacing w:val="-2"/>
        </w:rPr>
        <w:t xml:space="preserve"> </w:t>
      </w:r>
      <w:r w:rsidRPr="00AC0279">
        <w:rPr>
          <w:b/>
          <w:spacing w:val="-2"/>
        </w:rPr>
        <w:t xml:space="preserve">Thousand Pesos </w:t>
      </w:r>
      <w:r w:rsidR="00337216" w:rsidRPr="00AC0279">
        <w:rPr>
          <w:b/>
          <w:spacing w:val="-2"/>
        </w:rPr>
        <w:t>(Php</w:t>
      </w:r>
      <w:r w:rsidR="003D05F0">
        <w:rPr>
          <w:b/>
          <w:spacing w:val="-2"/>
        </w:rPr>
        <w:t>5</w:t>
      </w:r>
      <w:r w:rsidRPr="00AC0279">
        <w:rPr>
          <w:b/>
          <w:spacing w:val="-2"/>
        </w:rPr>
        <w:t>,000.00)</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lastRenderedPageBreak/>
        <w:t>It may also be downloaded free of charge from the website of the Philippine Government Electronic Procurement System (PhilGEPS),</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The City Government of Tuguegarao, through its Bids and Awards Committee</w:t>
      </w:r>
      <w:r w:rsidRPr="00AC0279">
        <w:rPr>
          <w:i/>
          <w:spacing w:val="-2"/>
        </w:rPr>
        <w:t xml:space="preserve"> </w:t>
      </w:r>
      <w:r w:rsidRPr="00AC0279">
        <w:rPr>
          <w:spacing w:val="-2"/>
        </w:rPr>
        <w:t xml:space="preserve">will hold a Pre-Bid Conference on </w:t>
      </w:r>
      <w:r w:rsidR="00170CE7">
        <w:rPr>
          <w:spacing w:val="-2"/>
        </w:rPr>
        <w:t>April</w:t>
      </w:r>
      <w:r w:rsidR="00BE76E9">
        <w:rPr>
          <w:spacing w:val="-2"/>
        </w:rPr>
        <w:t xml:space="preserve"> 7, 2021</w:t>
      </w:r>
      <w:r w:rsidRPr="00AC0279">
        <w:rPr>
          <w:spacing w:val="-2"/>
        </w:rPr>
        <w:t>, 10:00 A.M., at the City Mayor’s Conference Room, 2</w:t>
      </w:r>
      <w:r w:rsidRPr="00AC0279">
        <w:rPr>
          <w:spacing w:val="-2"/>
          <w:vertAlign w:val="superscript"/>
        </w:rPr>
        <w:t>nd</w:t>
      </w:r>
      <w:r w:rsidRPr="00AC0279">
        <w:rPr>
          <w:spacing w:val="-2"/>
        </w:rPr>
        <w:t xml:space="preserve"> Floor City Hall, Carig, Tuguegarao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address below on or before 9</w:t>
      </w:r>
      <w:r w:rsidR="00AC0279">
        <w:rPr>
          <w:spacing w:val="-2"/>
        </w:rPr>
        <w:t>:00 A</w:t>
      </w:r>
      <w:r w:rsidR="007524D6">
        <w:rPr>
          <w:spacing w:val="-2"/>
        </w:rPr>
        <w:t xml:space="preserve">.M. of </w:t>
      </w:r>
      <w:r w:rsidR="00BE76E9">
        <w:rPr>
          <w:spacing w:val="-2"/>
        </w:rPr>
        <w:t>April 20</w:t>
      </w:r>
      <w:r w:rsidR="009A1DBB">
        <w:rPr>
          <w:spacing w:val="-2"/>
        </w:rPr>
        <w:t>, 2021</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2D07FC">
        <w:rPr>
          <w:spacing w:val="-2"/>
        </w:rPr>
        <w:t>April 20</w:t>
      </w:r>
      <w:r w:rsidR="009A1DBB">
        <w:rPr>
          <w:spacing w:val="-2"/>
        </w:rPr>
        <w:t>, 2021</w:t>
      </w:r>
      <w:r w:rsidR="008655A3">
        <w:rPr>
          <w:spacing w:val="-2"/>
        </w:rPr>
        <w:t xml:space="preserve"> a</w:t>
      </w:r>
      <w:r w:rsidR="003E2145">
        <w:rPr>
          <w:spacing w:val="-2"/>
        </w:rPr>
        <w:t>t 10</w:t>
      </w:r>
      <w:r w:rsidR="00AC0279">
        <w:rPr>
          <w:spacing w:val="-2"/>
        </w:rPr>
        <w:t>:00 A</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Carig, Tuguegarao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The City Government of Tuguegarao</w:t>
      </w:r>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Pr="004D4FA4" w:rsidRDefault="0011307E" w:rsidP="0011307E">
      <w:pPr>
        <w:ind w:left="720"/>
      </w:pPr>
      <w:r w:rsidRPr="004D4FA4">
        <w:rPr>
          <w:i/>
          <w:spacing w:val="-2"/>
        </w:rPr>
        <w:t>Carig, Tuguegarao City</w:t>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AC7DA8">
        <w:rPr>
          <w:i/>
          <w:szCs w:val="24"/>
        </w:rPr>
        <w:t xml:space="preserve">       </w:t>
      </w:r>
      <w:r w:rsidRPr="004D4FA4">
        <w:rPr>
          <w:i/>
          <w:szCs w:val="24"/>
        </w:rPr>
        <w:t xml:space="preserve">ATTY. ROMEO I. CALUBAQUIB                                                                     </w:t>
      </w:r>
    </w:p>
    <w:p w:rsidR="0011307E" w:rsidRPr="004D4FA4" w:rsidRDefault="0011307E" w:rsidP="0011307E">
      <w:pPr>
        <w:rPr>
          <w:i/>
          <w:szCs w:val="24"/>
        </w:rPr>
      </w:pPr>
      <w:r w:rsidRPr="004D4FA4">
        <w:rPr>
          <w:i/>
          <w:szCs w:val="24"/>
        </w:rPr>
        <w:t xml:space="preserve">                                                                </w:t>
      </w:r>
      <w:r w:rsidRPr="004D4FA4">
        <w:rPr>
          <w:i/>
          <w:szCs w:val="24"/>
        </w:rPr>
        <w:tab/>
        <w:t>Chairperson</w:t>
      </w:r>
    </w:p>
    <w:p w:rsidR="0011307E" w:rsidRDefault="0011307E" w:rsidP="0011307E">
      <w:pPr>
        <w:ind w:left="3600" w:firstLine="720"/>
        <w:rPr>
          <w:i/>
          <w:szCs w:val="24"/>
        </w:rPr>
      </w:pPr>
      <w:r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3"/>
          <w:headerReference w:type="default" r:id="rId14"/>
          <w:footerReference w:type="even" r:id="rId15"/>
          <w:footerReference w:type="default" r:id="rId16"/>
          <w:headerReference w:type="first" r:id="rId17"/>
          <w:footerReference w:type="first" r:id="rId18"/>
          <w:pgSz w:w="11909" w:h="16834" w:code="9"/>
          <w:pgMar w:top="1440" w:right="1440" w:bottom="1440" w:left="1440" w:header="720" w:footer="720" w:gutter="0"/>
          <w:pgNumType w:start="1" w:chapStyle="1"/>
          <w:cols w:space="720"/>
          <w:docGrid w:linePitch="360"/>
        </w:sectPr>
      </w:pPr>
    </w:p>
    <w:p w:rsidR="00F309BD" w:rsidRPr="004D4FA4" w:rsidRDefault="00082223"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sidRPr="00082223">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sidRPr="00082223">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19"/>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082223" w:rsidP="00A63499">
      <w:pPr>
        <w:pStyle w:val="TOC2"/>
        <w:rPr>
          <w:noProof/>
          <w:sz w:val="22"/>
          <w:szCs w:val="22"/>
        </w:rPr>
      </w:pPr>
      <w:r w:rsidRPr="00082223">
        <w:fldChar w:fldCharType="begin"/>
      </w:r>
      <w:r w:rsidR="00A63499" w:rsidRPr="00286A7C">
        <w:instrText xml:space="preserve"> TOC \h \z \t "Heading 2,2,Heading 3,3" </w:instrText>
      </w:r>
      <w:r w:rsidRPr="00082223">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5330BA">
          <w:rPr>
            <w:noProof/>
            <w:webHidden/>
          </w:rPr>
          <w:t>7</w:t>
        </w:r>
        <w:r w:rsidRPr="00286A7C">
          <w:rPr>
            <w:noProof/>
            <w:webHidden/>
          </w:rPr>
          <w:fldChar w:fldCharType="end"/>
        </w:r>
      </w:hyperlink>
    </w:p>
    <w:p w:rsidR="00A63499" w:rsidRPr="00286A7C" w:rsidRDefault="00082223"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Pr="00286A7C">
          <w:rPr>
            <w:noProof/>
            <w:webHidden/>
          </w:rPr>
          <w:fldChar w:fldCharType="begin"/>
        </w:r>
        <w:r w:rsidR="00A63499" w:rsidRPr="00286A7C">
          <w:rPr>
            <w:noProof/>
            <w:webHidden/>
          </w:rPr>
          <w:instrText xml:space="preserve"> PAGEREF _Toc240079402 \h </w:instrText>
        </w:r>
        <w:r w:rsidRPr="00286A7C">
          <w:rPr>
            <w:noProof/>
            <w:webHidden/>
          </w:rPr>
        </w:r>
        <w:r w:rsidRPr="00286A7C">
          <w:rPr>
            <w:noProof/>
            <w:webHidden/>
          </w:rPr>
          <w:fldChar w:fldCharType="separate"/>
        </w:r>
        <w:r w:rsidR="005330BA">
          <w:rPr>
            <w:noProof/>
            <w:webHidden/>
          </w:rPr>
          <w:t>7</w:t>
        </w:r>
        <w:r w:rsidRPr="00286A7C">
          <w:rPr>
            <w:noProof/>
            <w:webHidden/>
          </w:rPr>
          <w:fldChar w:fldCharType="end"/>
        </w:r>
      </w:hyperlink>
    </w:p>
    <w:p w:rsidR="00A63499" w:rsidRPr="00286A7C" w:rsidRDefault="00082223"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Pr="00286A7C">
          <w:rPr>
            <w:noProof/>
            <w:webHidden/>
          </w:rPr>
          <w:fldChar w:fldCharType="begin"/>
        </w:r>
        <w:r w:rsidR="00A63499" w:rsidRPr="00286A7C">
          <w:rPr>
            <w:noProof/>
            <w:webHidden/>
          </w:rPr>
          <w:instrText xml:space="preserve"> PAGEREF _Toc240079404 \h </w:instrText>
        </w:r>
        <w:r w:rsidRPr="00286A7C">
          <w:rPr>
            <w:noProof/>
            <w:webHidden/>
          </w:rPr>
        </w:r>
        <w:r w:rsidRPr="00286A7C">
          <w:rPr>
            <w:noProof/>
            <w:webHidden/>
          </w:rPr>
          <w:fldChar w:fldCharType="separate"/>
        </w:r>
        <w:r w:rsidR="005330BA">
          <w:rPr>
            <w:noProof/>
            <w:webHidden/>
          </w:rPr>
          <w:t>7</w:t>
        </w:r>
        <w:r w:rsidRPr="00286A7C">
          <w:rPr>
            <w:noProof/>
            <w:webHidden/>
          </w:rPr>
          <w:fldChar w:fldCharType="end"/>
        </w:r>
      </w:hyperlink>
    </w:p>
    <w:p w:rsidR="00A63499" w:rsidRPr="00286A7C" w:rsidRDefault="00082223"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Pr="00286A7C">
          <w:rPr>
            <w:noProof/>
            <w:webHidden/>
          </w:rPr>
          <w:fldChar w:fldCharType="begin"/>
        </w:r>
        <w:r w:rsidR="00A63499" w:rsidRPr="00286A7C">
          <w:rPr>
            <w:noProof/>
            <w:webHidden/>
          </w:rPr>
          <w:instrText xml:space="preserve"> PAGEREF _Toc240079405 \h </w:instrText>
        </w:r>
        <w:r w:rsidRPr="00286A7C">
          <w:rPr>
            <w:noProof/>
            <w:webHidden/>
          </w:rPr>
        </w:r>
        <w:r w:rsidRPr="00286A7C">
          <w:rPr>
            <w:noProof/>
            <w:webHidden/>
          </w:rPr>
          <w:fldChar w:fldCharType="separate"/>
        </w:r>
        <w:r w:rsidR="005330BA">
          <w:rPr>
            <w:noProof/>
            <w:webHidden/>
          </w:rPr>
          <w:t>7</w:t>
        </w:r>
        <w:r w:rsidRPr="00286A7C">
          <w:rPr>
            <w:noProof/>
            <w:webHidden/>
          </w:rPr>
          <w:fldChar w:fldCharType="end"/>
        </w:r>
      </w:hyperlink>
    </w:p>
    <w:p w:rsidR="00A63499" w:rsidRPr="00286A7C" w:rsidRDefault="00082223"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Pr="00286A7C">
          <w:rPr>
            <w:noProof/>
            <w:webHidden/>
          </w:rPr>
          <w:fldChar w:fldCharType="begin"/>
        </w:r>
        <w:r w:rsidR="00A63499" w:rsidRPr="00286A7C">
          <w:rPr>
            <w:noProof/>
            <w:webHidden/>
          </w:rPr>
          <w:instrText xml:space="preserve"> PAGEREF _Toc240079406 \h </w:instrText>
        </w:r>
        <w:r w:rsidRPr="00286A7C">
          <w:rPr>
            <w:noProof/>
            <w:webHidden/>
          </w:rPr>
        </w:r>
        <w:r w:rsidRPr="00286A7C">
          <w:rPr>
            <w:noProof/>
            <w:webHidden/>
          </w:rPr>
          <w:fldChar w:fldCharType="separate"/>
        </w:r>
        <w:r w:rsidR="005330BA">
          <w:rPr>
            <w:noProof/>
            <w:webHidden/>
          </w:rPr>
          <w:t>9</w:t>
        </w:r>
        <w:r w:rsidRPr="00286A7C">
          <w:rPr>
            <w:noProof/>
            <w:webHidden/>
          </w:rPr>
          <w:fldChar w:fldCharType="end"/>
        </w:r>
      </w:hyperlink>
    </w:p>
    <w:p w:rsidR="00A63499" w:rsidRPr="00286A7C" w:rsidRDefault="00082223"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Pr="00286A7C">
          <w:rPr>
            <w:noProof/>
            <w:webHidden/>
          </w:rPr>
          <w:fldChar w:fldCharType="begin"/>
        </w:r>
        <w:r w:rsidR="00A63499" w:rsidRPr="00286A7C">
          <w:rPr>
            <w:noProof/>
            <w:webHidden/>
          </w:rPr>
          <w:instrText xml:space="preserve"> PAGEREF _Toc240079407 \h </w:instrText>
        </w:r>
        <w:r w:rsidRPr="00286A7C">
          <w:rPr>
            <w:noProof/>
            <w:webHidden/>
          </w:rPr>
        </w:r>
        <w:r w:rsidRPr="00286A7C">
          <w:rPr>
            <w:noProof/>
            <w:webHidden/>
          </w:rPr>
          <w:fldChar w:fldCharType="separate"/>
        </w:r>
        <w:r w:rsidR="005330BA">
          <w:rPr>
            <w:noProof/>
            <w:webHidden/>
          </w:rPr>
          <w:t>10</w:t>
        </w:r>
        <w:r w:rsidRPr="00286A7C">
          <w:rPr>
            <w:noProof/>
            <w:webHidden/>
          </w:rPr>
          <w:fldChar w:fldCharType="end"/>
        </w:r>
      </w:hyperlink>
    </w:p>
    <w:p w:rsidR="00A63499" w:rsidRPr="00286A7C" w:rsidRDefault="00082223"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Pr="00286A7C">
          <w:rPr>
            <w:noProof/>
            <w:webHidden/>
          </w:rPr>
          <w:fldChar w:fldCharType="begin"/>
        </w:r>
        <w:r w:rsidR="00A63499" w:rsidRPr="00286A7C">
          <w:rPr>
            <w:noProof/>
            <w:webHidden/>
          </w:rPr>
          <w:instrText xml:space="preserve"> PAGEREF _Toc240079411 \h </w:instrText>
        </w:r>
        <w:r w:rsidRPr="00286A7C">
          <w:rPr>
            <w:noProof/>
            <w:webHidden/>
          </w:rPr>
        </w:r>
        <w:r w:rsidRPr="00286A7C">
          <w:rPr>
            <w:noProof/>
            <w:webHidden/>
          </w:rPr>
          <w:fldChar w:fldCharType="separate"/>
        </w:r>
        <w:r w:rsidR="005330BA">
          <w:rPr>
            <w:noProof/>
            <w:webHidden/>
          </w:rPr>
          <w:t>11</w:t>
        </w:r>
        <w:r w:rsidRPr="00286A7C">
          <w:rPr>
            <w:noProof/>
            <w:webHidden/>
          </w:rPr>
          <w:fldChar w:fldCharType="end"/>
        </w:r>
      </w:hyperlink>
    </w:p>
    <w:p w:rsidR="00A63499" w:rsidRPr="00286A7C" w:rsidRDefault="00082223"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Pr="00286A7C">
          <w:rPr>
            <w:noProof/>
            <w:webHidden/>
          </w:rPr>
          <w:fldChar w:fldCharType="begin"/>
        </w:r>
        <w:r w:rsidR="00A63499" w:rsidRPr="00286A7C">
          <w:rPr>
            <w:noProof/>
            <w:webHidden/>
          </w:rPr>
          <w:instrText xml:space="preserve"> PAGEREF _Toc240079415 \h </w:instrText>
        </w:r>
        <w:r w:rsidRPr="00286A7C">
          <w:rPr>
            <w:noProof/>
            <w:webHidden/>
          </w:rPr>
        </w:r>
        <w:r w:rsidRPr="00286A7C">
          <w:rPr>
            <w:noProof/>
            <w:webHidden/>
          </w:rPr>
          <w:fldChar w:fldCharType="separate"/>
        </w:r>
        <w:r w:rsidR="005330BA">
          <w:rPr>
            <w:noProof/>
            <w:webHidden/>
          </w:rPr>
          <w:t>13</w:t>
        </w:r>
        <w:r w:rsidRPr="00286A7C">
          <w:rPr>
            <w:noProof/>
            <w:webHidden/>
          </w:rPr>
          <w:fldChar w:fldCharType="end"/>
        </w:r>
      </w:hyperlink>
    </w:p>
    <w:p w:rsidR="00A63499" w:rsidRPr="00286A7C" w:rsidRDefault="00082223"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Pr="00286A7C">
          <w:rPr>
            <w:noProof/>
            <w:webHidden/>
          </w:rPr>
          <w:fldChar w:fldCharType="begin"/>
        </w:r>
        <w:r w:rsidR="00A63499" w:rsidRPr="00286A7C">
          <w:rPr>
            <w:noProof/>
            <w:webHidden/>
          </w:rPr>
          <w:instrText xml:space="preserve"> PAGEREF _Toc240079417 \h </w:instrText>
        </w:r>
        <w:r w:rsidRPr="00286A7C">
          <w:rPr>
            <w:noProof/>
            <w:webHidden/>
          </w:rPr>
        </w:r>
        <w:r w:rsidRPr="00286A7C">
          <w:rPr>
            <w:noProof/>
            <w:webHidden/>
          </w:rPr>
          <w:fldChar w:fldCharType="separate"/>
        </w:r>
        <w:r w:rsidR="005330BA">
          <w:rPr>
            <w:noProof/>
            <w:webHidden/>
          </w:rPr>
          <w:t>13</w:t>
        </w:r>
        <w:r w:rsidRPr="00286A7C">
          <w:rPr>
            <w:noProof/>
            <w:webHidden/>
          </w:rPr>
          <w:fldChar w:fldCharType="end"/>
        </w:r>
      </w:hyperlink>
    </w:p>
    <w:p w:rsidR="00A63499" w:rsidRPr="00286A7C" w:rsidRDefault="00082223"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Pr="00286A7C">
          <w:rPr>
            <w:noProof/>
            <w:webHidden/>
          </w:rPr>
          <w:fldChar w:fldCharType="begin"/>
        </w:r>
        <w:r w:rsidR="00A63499" w:rsidRPr="00286A7C">
          <w:rPr>
            <w:noProof/>
            <w:webHidden/>
          </w:rPr>
          <w:instrText xml:space="preserve"> PAGEREF _Toc240079418 \h </w:instrText>
        </w:r>
        <w:r w:rsidRPr="00286A7C">
          <w:rPr>
            <w:noProof/>
            <w:webHidden/>
          </w:rPr>
        </w:r>
        <w:r w:rsidRPr="00286A7C">
          <w:rPr>
            <w:noProof/>
            <w:webHidden/>
          </w:rPr>
          <w:fldChar w:fldCharType="separate"/>
        </w:r>
        <w:r w:rsidR="005330BA">
          <w:rPr>
            <w:noProof/>
            <w:webHidden/>
          </w:rPr>
          <w:t>14</w:t>
        </w:r>
        <w:r w:rsidRPr="00286A7C">
          <w:rPr>
            <w:noProof/>
            <w:webHidden/>
          </w:rPr>
          <w:fldChar w:fldCharType="end"/>
        </w:r>
      </w:hyperlink>
    </w:p>
    <w:p w:rsidR="00A63499" w:rsidRPr="00286A7C" w:rsidRDefault="00082223"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Pr="00286A7C">
          <w:rPr>
            <w:noProof/>
            <w:webHidden/>
          </w:rPr>
          <w:fldChar w:fldCharType="begin"/>
        </w:r>
        <w:r w:rsidR="00A63499" w:rsidRPr="00286A7C">
          <w:rPr>
            <w:noProof/>
            <w:webHidden/>
          </w:rPr>
          <w:instrText xml:space="preserve"> PAGEREF _Toc240079419 \h </w:instrText>
        </w:r>
        <w:r w:rsidRPr="00286A7C">
          <w:rPr>
            <w:noProof/>
            <w:webHidden/>
          </w:rPr>
        </w:r>
        <w:r w:rsidRPr="00286A7C">
          <w:rPr>
            <w:noProof/>
            <w:webHidden/>
          </w:rPr>
          <w:fldChar w:fldCharType="separate"/>
        </w:r>
        <w:r w:rsidR="005330BA">
          <w:rPr>
            <w:noProof/>
            <w:webHidden/>
          </w:rPr>
          <w:t>14</w:t>
        </w:r>
        <w:r w:rsidRPr="00286A7C">
          <w:rPr>
            <w:noProof/>
            <w:webHidden/>
          </w:rPr>
          <w:fldChar w:fldCharType="end"/>
        </w:r>
      </w:hyperlink>
    </w:p>
    <w:p w:rsidR="00A63499" w:rsidRPr="00286A7C" w:rsidRDefault="00082223"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Pr="00286A7C">
          <w:rPr>
            <w:noProof/>
            <w:webHidden/>
          </w:rPr>
          <w:fldChar w:fldCharType="begin"/>
        </w:r>
        <w:r w:rsidR="00A63499" w:rsidRPr="00286A7C">
          <w:rPr>
            <w:noProof/>
            <w:webHidden/>
          </w:rPr>
          <w:instrText xml:space="preserve"> PAGEREF _Toc240079441 \h </w:instrText>
        </w:r>
        <w:r w:rsidRPr="00286A7C">
          <w:rPr>
            <w:noProof/>
            <w:webHidden/>
          </w:rPr>
        </w:r>
        <w:r w:rsidRPr="00286A7C">
          <w:rPr>
            <w:noProof/>
            <w:webHidden/>
          </w:rPr>
          <w:fldChar w:fldCharType="separate"/>
        </w:r>
        <w:r w:rsidR="005330BA">
          <w:rPr>
            <w:noProof/>
            <w:webHidden/>
          </w:rPr>
          <w:t>14</w:t>
        </w:r>
        <w:r w:rsidRPr="00286A7C">
          <w:rPr>
            <w:noProof/>
            <w:webHidden/>
          </w:rPr>
          <w:fldChar w:fldCharType="end"/>
        </w:r>
      </w:hyperlink>
    </w:p>
    <w:p w:rsidR="00A63499" w:rsidRPr="00286A7C" w:rsidRDefault="00082223"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Pr="00286A7C">
          <w:rPr>
            <w:noProof/>
            <w:webHidden/>
          </w:rPr>
          <w:fldChar w:fldCharType="begin"/>
        </w:r>
        <w:r w:rsidR="00A63499" w:rsidRPr="00286A7C">
          <w:rPr>
            <w:noProof/>
            <w:webHidden/>
          </w:rPr>
          <w:instrText xml:space="preserve"> PAGEREF _Toc240079442 \h </w:instrText>
        </w:r>
        <w:r w:rsidRPr="00286A7C">
          <w:rPr>
            <w:noProof/>
            <w:webHidden/>
          </w:rPr>
        </w:r>
        <w:r w:rsidRPr="00286A7C">
          <w:rPr>
            <w:noProof/>
            <w:webHidden/>
          </w:rPr>
          <w:fldChar w:fldCharType="separate"/>
        </w:r>
        <w:r w:rsidR="005330BA">
          <w:rPr>
            <w:noProof/>
            <w:webHidden/>
          </w:rPr>
          <w:t>15</w:t>
        </w:r>
        <w:r w:rsidRPr="00286A7C">
          <w:rPr>
            <w:noProof/>
            <w:webHidden/>
          </w:rPr>
          <w:fldChar w:fldCharType="end"/>
        </w:r>
      </w:hyperlink>
    </w:p>
    <w:p w:rsidR="00A63499" w:rsidRPr="00286A7C" w:rsidRDefault="00082223"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Pr="00286A7C">
          <w:rPr>
            <w:noProof/>
            <w:webHidden/>
          </w:rPr>
          <w:fldChar w:fldCharType="begin"/>
        </w:r>
        <w:r w:rsidR="00A63499" w:rsidRPr="00286A7C">
          <w:rPr>
            <w:noProof/>
            <w:webHidden/>
          </w:rPr>
          <w:instrText xml:space="preserve"> PAGEREF _Toc240079443 \h </w:instrText>
        </w:r>
        <w:r w:rsidRPr="00286A7C">
          <w:rPr>
            <w:noProof/>
            <w:webHidden/>
          </w:rPr>
        </w:r>
        <w:r w:rsidRPr="00286A7C">
          <w:rPr>
            <w:noProof/>
            <w:webHidden/>
          </w:rPr>
          <w:fldChar w:fldCharType="separate"/>
        </w:r>
        <w:r w:rsidR="005330BA">
          <w:rPr>
            <w:noProof/>
            <w:webHidden/>
          </w:rPr>
          <w:t>15</w:t>
        </w:r>
        <w:r w:rsidRPr="00286A7C">
          <w:rPr>
            <w:noProof/>
            <w:webHidden/>
          </w:rPr>
          <w:fldChar w:fldCharType="end"/>
        </w:r>
      </w:hyperlink>
    </w:p>
    <w:p w:rsidR="00A63499" w:rsidRPr="00286A7C" w:rsidRDefault="00082223"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Pr="00286A7C">
          <w:rPr>
            <w:noProof/>
            <w:webHidden/>
          </w:rPr>
          <w:fldChar w:fldCharType="begin"/>
        </w:r>
        <w:r w:rsidR="00A63499" w:rsidRPr="00286A7C">
          <w:rPr>
            <w:noProof/>
            <w:webHidden/>
          </w:rPr>
          <w:instrText xml:space="preserve"> PAGEREF _Toc240079451 \h </w:instrText>
        </w:r>
        <w:r w:rsidRPr="00286A7C">
          <w:rPr>
            <w:noProof/>
            <w:webHidden/>
          </w:rPr>
        </w:r>
        <w:r w:rsidRPr="00286A7C">
          <w:rPr>
            <w:noProof/>
            <w:webHidden/>
          </w:rPr>
          <w:fldChar w:fldCharType="separate"/>
        </w:r>
        <w:r w:rsidR="005330BA">
          <w:rPr>
            <w:noProof/>
            <w:webHidden/>
          </w:rPr>
          <w:t>15</w:t>
        </w:r>
        <w:r w:rsidRPr="00286A7C">
          <w:rPr>
            <w:noProof/>
            <w:webHidden/>
          </w:rPr>
          <w:fldChar w:fldCharType="end"/>
        </w:r>
      </w:hyperlink>
    </w:p>
    <w:p w:rsidR="00A63499" w:rsidRPr="00286A7C" w:rsidRDefault="00082223"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Pr="00286A7C">
          <w:rPr>
            <w:noProof/>
            <w:webHidden/>
          </w:rPr>
          <w:fldChar w:fldCharType="begin"/>
        </w:r>
        <w:r w:rsidR="00A63499" w:rsidRPr="00286A7C">
          <w:rPr>
            <w:noProof/>
            <w:webHidden/>
          </w:rPr>
          <w:instrText xml:space="preserve"> PAGEREF _Toc240079452 \h </w:instrText>
        </w:r>
        <w:r w:rsidRPr="00286A7C">
          <w:rPr>
            <w:noProof/>
            <w:webHidden/>
          </w:rPr>
        </w:r>
        <w:r w:rsidRPr="00286A7C">
          <w:rPr>
            <w:noProof/>
            <w:webHidden/>
          </w:rPr>
          <w:fldChar w:fldCharType="separate"/>
        </w:r>
        <w:r w:rsidR="005330BA">
          <w:rPr>
            <w:noProof/>
            <w:webHidden/>
          </w:rPr>
          <w:t>17</w:t>
        </w:r>
        <w:r w:rsidRPr="00286A7C">
          <w:rPr>
            <w:noProof/>
            <w:webHidden/>
          </w:rPr>
          <w:fldChar w:fldCharType="end"/>
        </w:r>
      </w:hyperlink>
    </w:p>
    <w:p w:rsidR="00A63499" w:rsidRPr="00286A7C" w:rsidRDefault="00082223"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Pr="00286A7C">
          <w:rPr>
            <w:noProof/>
            <w:webHidden/>
          </w:rPr>
          <w:fldChar w:fldCharType="begin"/>
        </w:r>
        <w:r w:rsidR="00A63499" w:rsidRPr="00286A7C">
          <w:rPr>
            <w:noProof/>
            <w:webHidden/>
          </w:rPr>
          <w:instrText xml:space="preserve"> PAGEREF _Toc240079483 \h </w:instrText>
        </w:r>
        <w:r w:rsidRPr="00286A7C">
          <w:rPr>
            <w:noProof/>
            <w:webHidden/>
          </w:rPr>
        </w:r>
        <w:r w:rsidRPr="00286A7C">
          <w:rPr>
            <w:noProof/>
            <w:webHidden/>
          </w:rPr>
          <w:fldChar w:fldCharType="separate"/>
        </w:r>
        <w:r w:rsidR="005330BA">
          <w:rPr>
            <w:noProof/>
            <w:webHidden/>
          </w:rPr>
          <w:t>18</w:t>
        </w:r>
        <w:r w:rsidRPr="00286A7C">
          <w:rPr>
            <w:noProof/>
            <w:webHidden/>
          </w:rPr>
          <w:fldChar w:fldCharType="end"/>
        </w:r>
      </w:hyperlink>
    </w:p>
    <w:p w:rsidR="00A63499" w:rsidRPr="00286A7C" w:rsidRDefault="00082223"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Pr="00286A7C">
          <w:rPr>
            <w:noProof/>
            <w:webHidden/>
          </w:rPr>
          <w:fldChar w:fldCharType="begin"/>
        </w:r>
        <w:r w:rsidR="00A63499" w:rsidRPr="00286A7C">
          <w:rPr>
            <w:noProof/>
            <w:webHidden/>
          </w:rPr>
          <w:instrText xml:space="preserve"> PAGEREF _Toc240079484 \h </w:instrText>
        </w:r>
        <w:r w:rsidRPr="00286A7C">
          <w:rPr>
            <w:noProof/>
            <w:webHidden/>
          </w:rPr>
        </w:r>
        <w:r w:rsidRPr="00286A7C">
          <w:rPr>
            <w:noProof/>
            <w:webHidden/>
          </w:rPr>
          <w:fldChar w:fldCharType="separate"/>
        </w:r>
        <w:r w:rsidR="005330BA">
          <w:rPr>
            <w:noProof/>
            <w:webHidden/>
          </w:rPr>
          <w:t>19</w:t>
        </w:r>
        <w:r w:rsidRPr="00286A7C">
          <w:rPr>
            <w:noProof/>
            <w:webHidden/>
          </w:rPr>
          <w:fldChar w:fldCharType="end"/>
        </w:r>
      </w:hyperlink>
    </w:p>
    <w:p w:rsidR="00A63499" w:rsidRPr="00286A7C" w:rsidRDefault="00082223"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Pr="00286A7C">
          <w:rPr>
            <w:noProof/>
            <w:webHidden/>
          </w:rPr>
          <w:fldChar w:fldCharType="begin"/>
        </w:r>
        <w:r w:rsidR="00A63499" w:rsidRPr="00286A7C">
          <w:rPr>
            <w:noProof/>
            <w:webHidden/>
          </w:rPr>
          <w:instrText xml:space="preserve"> PAGEREF _Toc240079485 \h </w:instrText>
        </w:r>
        <w:r w:rsidRPr="00286A7C">
          <w:rPr>
            <w:noProof/>
            <w:webHidden/>
          </w:rPr>
        </w:r>
        <w:r w:rsidRPr="00286A7C">
          <w:rPr>
            <w:noProof/>
            <w:webHidden/>
          </w:rPr>
          <w:fldChar w:fldCharType="separate"/>
        </w:r>
        <w:r w:rsidR="005330BA">
          <w:rPr>
            <w:noProof/>
            <w:webHidden/>
          </w:rPr>
          <w:t>19</w:t>
        </w:r>
        <w:r w:rsidRPr="00286A7C">
          <w:rPr>
            <w:noProof/>
            <w:webHidden/>
          </w:rPr>
          <w:fldChar w:fldCharType="end"/>
        </w:r>
      </w:hyperlink>
    </w:p>
    <w:p w:rsidR="00A63499" w:rsidRPr="00286A7C" w:rsidRDefault="00082223"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Pr="00286A7C">
          <w:rPr>
            <w:noProof/>
            <w:webHidden/>
          </w:rPr>
          <w:fldChar w:fldCharType="begin"/>
        </w:r>
        <w:r w:rsidR="00A63499" w:rsidRPr="00286A7C">
          <w:rPr>
            <w:noProof/>
            <w:webHidden/>
          </w:rPr>
          <w:instrText xml:space="preserve"> PAGEREF _Toc240079489 \h </w:instrText>
        </w:r>
        <w:r w:rsidRPr="00286A7C">
          <w:rPr>
            <w:noProof/>
            <w:webHidden/>
          </w:rPr>
        </w:r>
        <w:r w:rsidRPr="00286A7C">
          <w:rPr>
            <w:noProof/>
            <w:webHidden/>
          </w:rPr>
          <w:fldChar w:fldCharType="separate"/>
        </w:r>
        <w:r w:rsidR="005330BA">
          <w:rPr>
            <w:noProof/>
            <w:webHidden/>
          </w:rPr>
          <w:t>20</w:t>
        </w:r>
        <w:r w:rsidRPr="00286A7C">
          <w:rPr>
            <w:noProof/>
            <w:webHidden/>
          </w:rPr>
          <w:fldChar w:fldCharType="end"/>
        </w:r>
      </w:hyperlink>
    </w:p>
    <w:p w:rsidR="00A63499" w:rsidRPr="00286A7C" w:rsidRDefault="00082223"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Pr="00286A7C">
          <w:rPr>
            <w:noProof/>
            <w:webHidden/>
          </w:rPr>
          <w:fldChar w:fldCharType="begin"/>
        </w:r>
        <w:r w:rsidR="00A63499" w:rsidRPr="00286A7C">
          <w:rPr>
            <w:noProof/>
            <w:webHidden/>
          </w:rPr>
          <w:instrText xml:space="preserve"> PAGEREF _Toc240079494 \h </w:instrText>
        </w:r>
        <w:r w:rsidRPr="00286A7C">
          <w:rPr>
            <w:noProof/>
            <w:webHidden/>
          </w:rPr>
        </w:r>
        <w:r w:rsidRPr="00286A7C">
          <w:rPr>
            <w:noProof/>
            <w:webHidden/>
          </w:rPr>
          <w:fldChar w:fldCharType="separate"/>
        </w:r>
        <w:r w:rsidR="005330BA">
          <w:rPr>
            <w:noProof/>
            <w:webHidden/>
          </w:rPr>
          <w:t>20</w:t>
        </w:r>
        <w:r w:rsidRPr="00286A7C">
          <w:rPr>
            <w:noProof/>
            <w:webHidden/>
          </w:rPr>
          <w:fldChar w:fldCharType="end"/>
        </w:r>
      </w:hyperlink>
    </w:p>
    <w:p w:rsidR="00A63499" w:rsidRPr="00286A7C" w:rsidRDefault="00082223"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Pr="00286A7C">
          <w:rPr>
            <w:noProof/>
            <w:webHidden/>
          </w:rPr>
          <w:fldChar w:fldCharType="begin"/>
        </w:r>
        <w:r w:rsidR="00A63499" w:rsidRPr="00286A7C">
          <w:rPr>
            <w:noProof/>
            <w:webHidden/>
          </w:rPr>
          <w:instrText xml:space="preserve"> PAGEREF _Toc240079512 \h </w:instrText>
        </w:r>
        <w:r w:rsidRPr="00286A7C">
          <w:rPr>
            <w:noProof/>
            <w:webHidden/>
          </w:rPr>
        </w:r>
        <w:r w:rsidRPr="00286A7C">
          <w:rPr>
            <w:noProof/>
            <w:webHidden/>
          </w:rPr>
          <w:fldChar w:fldCharType="separate"/>
        </w:r>
        <w:r w:rsidR="005330BA">
          <w:rPr>
            <w:noProof/>
            <w:webHidden/>
          </w:rPr>
          <w:t>22</w:t>
        </w:r>
        <w:r w:rsidRPr="00286A7C">
          <w:rPr>
            <w:noProof/>
            <w:webHidden/>
          </w:rPr>
          <w:fldChar w:fldCharType="end"/>
        </w:r>
      </w:hyperlink>
    </w:p>
    <w:p w:rsidR="00A63499" w:rsidRPr="00286A7C" w:rsidRDefault="00082223"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Pr="00286A7C">
          <w:rPr>
            <w:noProof/>
            <w:webHidden/>
          </w:rPr>
          <w:fldChar w:fldCharType="begin"/>
        </w:r>
        <w:r w:rsidR="00A63499" w:rsidRPr="00286A7C">
          <w:rPr>
            <w:noProof/>
            <w:webHidden/>
          </w:rPr>
          <w:instrText xml:space="preserve"> PAGEREF _Toc240079519 \h </w:instrText>
        </w:r>
        <w:r w:rsidRPr="00286A7C">
          <w:rPr>
            <w:noProof/>
            <w:webHidden/>
          </w:rPr>
        </w:r>
        <w:r w:rsidRPr="00286A7C">
          <w:rPr>
            <w:noProof/>
            <w:webHidden/>
          </w:rPr>
          <w:fldChar w:fldCharType="separate"/>
        </w:r>
        <w:r w:rsidR="005330BA">
          <w:rPr>
            <w:noProof/>
            <w:webHidden/>
          </w:rPr>
          <w:t>23</w:t>
        </w:r>
        <w:r w:rsidRPr="00286A7C">
          <w:rPr>
            <w:noProof/>
            <w:webHidden/>
          </w:rPr>
          <w:fldChar w:fldCharType="end"/>
        </w:r>
      </w:hyperlink>
    </w:p>
    <w:p w:rsidR="00A63499" w:rsidRPr="00286A7C" w:rsidRDefault="00082223"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Pr="00286A7C">
          <w:rPr>
            <w:noProof/>
            <w:webHidden/>
          </w:rPr>
          <w:fldChar w:fldCharType="begin"/>
        </w:r>
        <w:r w:rsidR="00A63499" w:rsidRPr="00286A7C">
          <w:rPr>
            <w:noProof/>
            <w:webHidden/>
          </w:rPr>
          <w:instrText xml:space="preserve"> PAGEREF _Toc240079521 \h </w:instrText>
        </w:r>
        <w:r w:rsidRPr="00286A7C">
          <w:rPr>
            <w:noProof/>
            <w:webHidden/>
          </w:rPr>
        </w:r>
        <w:r w:rsidRPr="00286A7C">
          <w:rPr>
            <w:noProof/>
            <w:webHidden/>
          </w:rPr>
          <w:fldChar w:fldCharType="separate"/>
        </w:r>
        <w:r w:rsidR="005330BA">
          <w:rPr>
            <w:noProof/>
            <w:webHidden/>
          </w:rPr>
          <w:t>24</w:t>
        </w:r>
        <w:r w:rsidRPr="00286A7C">
          <w:rPr>
            <w:noProof/>
            <w:webHidden/>
          </w:rPr>
          <w:fldChar w:fldCharType="end"/>
        </w:r>
      </w:hyperlink>
    </w:p>
    <w:p w:rsidR="00A63499" w:rsidRPr="00286A7C" w:rsidRDefault="00082223"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Pr="00286A7C">
          <w:rPr>
            <w:noProof/>
            <w:webHidden/>
          </w:rPr>
          <w:fldChar w:fldCharType="begin"/>
        </w:r>
        <w:r w:rsidR="00A63499" w:rsidRPr="00286A7C">
          <w:rPr>
            <w:noProof/>
            <w:webHidden/>
          </w:rPr>
          <w:instrText xml:space="preserve"> PAGEREF _Toc240079523 \h </w:instrText>
        </w:r>
        <w:r w:rsidRPr="00286A7C">
          <w:rPr>
            <w:noProof/>
            <w:webHidden/>
          </w:rPr>
        </w:r>
        <w:r w:rsidRPr="00286A7C">
          <w:rPr>
            <w:noProof/>
            <w:webHidden/>
          </w:rPr>
          <w:fldChar w:fldCharType="separate"/>
        </w:r>
        <w:r w:rsidR="005330BA">
          <w:rPr>
            <w:noProof/>
            <w:webHidden/>
          </w:rPr>
          <w:t>24</w:t>
        </w:r>
        <w:r w:rsidRPr="00286A7C">
          <w:rPr>
            <w:noProof/>
            <w:webHidden/>
          </w:rPr>
          <w:fldChar w:fldCharType="end"/>
        </w:r>
      </w:hyperlink>
    </w:p>
    <w:p w:rsidR="00A63499" w:rsidRPr="00286A7C" w:rsidRDefault="00082223"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Pr="00286A7C">
          <w:rPr>
            <w:noProof/>
            <w:webHidden/>
          </w:rPr>
          <w:fldChar w:fldCharType="begin"/>
        </w:r>
        <w:r w:rsidR="00A63499" w:rsidRPr="00286A7C">
          <w:rPr>
            <w:noProof/>
            <w:webHidden/>
          </w:rPr>
          <w:instrText xml:space="preserve"> PAGEREF _Toc240079524 \h </w:instrText>
        </w:r>
        <w:r w:rsidRPr="00286A7C">
          <w:rPr>
            <w:noProof/>
            <w:webHidden/>
          </w:rPr>
        </w:r>
        <w:r w:rsidRPr="00286A7C">
          <w:rPr>
            <w:noProof/>
            <w:webHidden/>
          </w:rPr>
          <w:fldChar w:fldCharType="separate"/>
        </w:r>
        <w:r w:rsidR="005330BA">
          <w:rPr>
            <w:noProof/>
            <w:webHidden/>
          </w:rPr>
          <w:t>24</w:t>
        </w:r>
        <w:r w:rsidRPr="00286A7C">
          <w:rPr>
            <w:noProof/>
            <w:webHidden/>
          </w:rPr>
          <w:fldChar w:fldCharType="end"/>
        </w:r>
      </w:hyperlink>
    </w:p>
    <w:p w:rsidR="00A63499" w:rsidRPr="00286A7C" w:rsidRDefault="00082223"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Pr="00286A7C">
          <w:rPr>
            <w:noProof/>
            <w:webHidden/>
          </w:rPr>
          <w:fldChar w:fldCharType="begin"/>
        </w:r>
        <w:r w:rsidR="00A63499" w:rsidRPr="00286A7C">
          <w:rPr>
            <w:noProof/>
            <w:webHidden/>
          </w:rPr>
          <w:instrText xml:space="preserve"> PAGEREF _Toc240079526 \h </w:instrText>
        </w:r>
        <w:r w:rsidRPr="00286A7C">
          <w:rPr>
            <w:noProof/>
            <w:webHidden/>
          </w:rPr>
        </w:r>
        <w:r w:rsidRPr="00286A7C">
          <w:rPr>
            <w:noProof/>
            <w:webHidden/>
          </w:rPr>
          <w:fldChar w:fldCharType="separate"/>
        </w:r>
        <w:r w:rsidR="005330BA">
          <w:rPr>
            <w:noProof/>
            <w:webHidden/>
          </w:rPr>
          <w:t>24</w:t>
        </w:r>
        <w:r w:rsidRPr="00286A7C">
          <w:rPr>
            <w:noProof/>
            <w:webHidden/>
          </w:rPr>
          <w:fldChar w:fldCharType="end"/>
        </w:r>
      </w:hyperlink>
    </w:p>
    <w:p w:rsidR="00A63499" w:rsidRPr="00286A7C" w:rsidRDefault="00082223"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Pr="00286A7C">
          <w:rPr>
            <w:noProof/>
            <w:webHidden/>
          </w:rPr>
          <w:fldChar w:fldCharType="begin"/>
        </w:r>
        <w:r w:rsidR="00A63499" w:rsidRPr="00286A7C">
          <w:rPr>
            <w:noProof/>
            <w:webHidden/>
          </w:rPr>
          <w:instrText xml:space="preserve"> PAGEREF _Toc240079527 \h </w:instrText>
        </w:r>
        <w:r w:rsidRPr="00286A7C">
          <w:rPr>
            <w:noProof/>
            <w:webHidden/>
          </w:rPr>
        </w:r>
        <w:r w:rsidRPr="00286A7C">
          <w:rPr>
            <w:noProof/>
            <w:webHidden/>
          </w:rPr>
          <w:fldChar w:fldCharType="separate"/>
        </w:r>
        <w:r w:rsidR="005330BA">
          <w:rPr>
            <w:noProof/>
            <w:webHidden/>
          </w:rPr>
          <w:t>25</w:t>
        </w:r>
        <w:r w:rsidRPr="00286A7C">
          <w:rPr>
            <w:noProof/>
            <w:webHidden/>
          </w:rPr>
          <w:fldChar w:fldCharType="end"/>
        </w:r>
      </w:hyperlink>
    </w:p>
    <w:p w:rsidR="00A63499" w:rsidRPr="00286A7C" w:rsidRDefault="00082223"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Pr="00286A7C">
          <w:rPr>
            <w:noProof/>
            <w:webHidden/>
          </w:rPr>
          <w:fldChar w:fldCharType="begin"/>
        </w:r>
        <w:r w:rsidR="00A63499" w:rsidRPr="00286A7C">
          <w:rPr>
            <w:noProof/>
            <w:webHidden/>
          </w:rPr>
          <w:instrText xml:space="preserve"> PAGEREF _Toc240079529 \h </w:instrText>
        </w:r>
        <w:r w:rsidRPr="00286A7C">
          <w:rPr>
            <w:noProof/>
            <w:webHidden/>
          </w:rPr>
        </w:r>
        <w:r w:rsidRPr="00286A7C">
          <w:rPr>
            <w:noProof/>
            <w:webHidden/>
          </w:rPr>
          <w:fldChar w:fldCharType="separate"/>
        </w:r>
        <w:r w:rsidR="005330BA">
          <w:rPr>
            <w:noProof/>
            <w:webHidden/>
          </w:rPr>
          <w:t>26</w:t>
        </w:r>
        <w:r w:rsidRPr="00286A7C">
          <w:rPr>
            <w:noProof/>
            <w:webHidden/>
          </w:rPr>
          <w:fldChar w:fldCharType="end"/>
        </w:r>
      </w:hyperlink>
    </w:p>
    <w:p w:rsidR="00A63499" w:rsidRPr="00286A7C" w:rsidRDefault="00082223"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Pr="00286A7C">
          <w:rPr>
            <w:noProof/>
            <w:webHidden/>
          </w:rPr>
          <w:fldChar w:fldCharType="begin"/>
        </w:r>
        <w:r w:rsidR="00A63499" w:rsidRPr="00286A7C">
          <w:rPr>
            <w:noProof/>
            <w:webHidden/>
          </w:rPr>
          <w:instrText xml:space="preserve"> PAGEREF _Toc240079543 \h </w:instrText>
        </w:r>
        <w:r w:rsidRPr="00286A7C">
          <w:rPr>
            <w:noProof/>
            <w:webHidden/>
          </w:rPr>
        </w:r>
        <w:r w:rsidRPr="00286A7C">
          <w:rPr>
            <w:noProof/>
            <w:webHidden/>
          </w:rPr>
          <w:fldChar w:fldCharType="separate"/>
        </w:r>
        <w:r w:rsidR="005330BA">
          <w:rPr>
            <w:noProof/>
            <w:webHidden/>
          </w:rPr>
          <w:t>26</w:t>
        </w:r>
        <w:r w:rsidRPr="00286A7C">
          <w:rPr>
            <w:noProof/>
            <w:webHidden/>
          </w:rPr>
          <w:fldChar w:fldCharType="end"/>
        </w:r>
      </w:hyperlink>
    </w:p>
    <w:p w:rsidR="00A63499" w:rsidRPr="00286A7C" w:rsidRDefault="00082223"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Pr="00286A7C">
          <w:rPr>
            <w:noProof/>
            <w:webHidden/>
          </w:rPr>
          <w:fldChar w:fldCharType="begin"/>
        </w:r>
        <w:r w:rsidR="00A63499" w:rsidRPr="00286A7C">
          <w:rPr>
            <w:noProof/>
            <w:webHidden/>
          </w:rPr>
          <w:instrText xml:space="preserve"> PAGEREF _Toc240079546 \h </w:instrText>
        </w:r>
        <w:r w:rsidRPr="00286A7C">
          <w:rPr>
            <w:noProof/>
            <w:webHidden/>
          </w:rPr>
        </w:r>
        <w:r w:rsidRPr="00286A7C">
          <w:rPr>
            <w:noProof/>
            <w:webHidden/>
          </w:rPr>
          <w:fldChar w:fldCharType="separate"/>
        </w:r>
        <w:r w:rsidR="005330BA">
          <w:rPr>
            <w:noProof/>
            <w:webHidden/>
          </w:rPr>
          <w:t>26</w:t>
        </w:r>
        <w:r w:rsidRPr="00286A7C">
          <w:rPr>
            <w:noProof/>
            <w:webHidden/>
          </w:rPr>
          <w:fldChar w:fldCharType="end"/>
        </w:r>
      </w:hyperlink>
    </w:p>
    <w:p w:rsidR="00A63499" w:rsidRPr="00286A7C" w:rsidRDefault="00082223"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Pr="00286A7C">
          <w:rPr>
            <w:noProof/>
            <w:webHidden/>
          </w:rPr>
          <w:fldChar w:fldCharType="begin"/>
        </w:r>
        <w:r w:rsidR="00A63499" w:rsidRPr="00286A7C">
          <w:rPr>
            <w:noProof/>
            <w:webHidden/>
          </w:rPr>
          <w:instrText xml:space="preserve"> PAGEREF _Toc240079563 \h </w:instrText>
        </w:r>
        <w:r w:rsidRPr="00286A7C">
          <w:rPr>
            <w:noProof/>
            <w:webHidden/>
          </w:rPr>
        </w:r>
        <w:r w:rsidRPr="00286A7C">
          <w:rPr>
            <w:noProof/>
            <w:webHidden/>
          </w:rPr>
          <w:fldChar w:fldCharType="separate"/>
        </w:r>
        <w:r w:rsidR="005330BA">
          <w:rPr>
            <w:noProof/>
            <w:webHidden/>
          </w:rPr>
          <w:t>27</w:t>
        </w:r>
        <w:r w:rsidRPr="00286A7C">
          <w:rPr>
            <w:noProof/>
            <w:webHidden/>
          </w:rPr>
          <w:fldChar w:fldCharType="end"/>
        </w:r>
      </w:hyperlink>
    </w:p>
    <w:p w:rsidR="00A63499" w:rsidRPr="00286A7C" w:rsidRDefault="00082223"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Pr="00286A7C">
          <w:rPr>
            <w:noProof/>
            <w:webHidden/>
          </w:rPr>
          <w:fldChar w:fldCharType="begin"/>
        </w:r>
        <w:r w:rsidR="00A63499" w:rsidRPr="00286A7C">
          <w:rPr>
            <w:noProof/>
            <w:webHidden/>
          </w:rPr>
          <w:instrText xml:space="preserve"> PAGEREF _Toc240079584 \h </w:instrText>
        </w:r>
        <w:r w:rsidRPr="00286A7C">
          <w:rPr>
            <w:noProof/>
            <w:webHidden/>
          </w:rPr>
        </w:r>
        <w:r w:rsidRPr="00286A7C">
          <w:rPr>
            <w:noProof/>
            <w:webHidden/>
          </w:rPr>
          <w:fldChar w:fldCharType="separate"/>
        </w:r>
        <w:r w:rsidR="005330BA">
          <w:rPr>
            <w:noProof/>
            <w:webHidden/>
          </w:rPr>
          <w:t>28</w:t>
        </w:r>
        <w:r w:rsidRPr="00286A7C">
          <w:rPr>
            <w:noProof/>
            <w:webHidden/>
          </w:rPr>
          <w:fldChar w:fldCharType="end"/>
        </w:r>
      </w:hyperlink>
    </w:p>
    <w:p w:rsidR="00A63499" w:rsidRPr="00286A7C" w:rsidRDefault="00082223"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Pr="00286A7C">
          <w:rPr>
            <w:noProof/>
            <w:webHidden/>
          </w:rPr>
          <w:fldChar w:fldCharType="begin"/>
        </w:r>
        <w:r w:rsidR="00A63499" w:rsidRPr="00286A7C">
          <w:rPr>
            <w:noProof/>
            <w:webHidden/>
          </w:rPr>
          <w:instrText xml:space="preserve"> PAGEREF _Toc240079588 \h </w:instrText>
        </w:r>
        <w:r w:rsidRPr="00286A7C">
          <w:rPr>
            <w:noProof/>
            <w:webHidden/>
          </w:rPr>
        </w:r>
        <w:r w:rsidRPr="00286A7C">
          <w:rPr>
            <w:noProof/>
            <w:webHidden/>
          </w:rPr>
          <w:fldChar w:fldCharType="separate"/>
        </w:r>
        <w:r w:rsidR="005330BA">
          <w:rPr>
            <w:noProof/>
            <w:webHidden/>
          </w:rPr>
          <w:t>29</w:t>
        </w:r>
        <w:r w:rsidRPr="00286A7C">
          <w:rPr>
            <w:noProof/>
            <w:webHidden/>
          </w:rPr>
          <w:fldChar w:fldCharType="end"/>
        </w:r>
      </w:hyperlink>
    </w:p>
    <w:p w:rsidR="00A63499" w:rsidRPr="00286A7C" w:rsidRDefault="00082223"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Pr="00286A7C">
          <w:rPr>
            <w:noProof/>
            <w:webHidden/>
          </w:rPr>
          <w:fldChar w:fldCharType="begin"/>
        </w:r>
        <w:r w:rsidR="00A63499" w:rsidRPr="00286A7C">
          <w:rPr>
            <w:noProof/>
            <w:webHidden/>
          </w:rPr>
          <w:instrText xml:space="preserve"> PAGEREF _Toc240079589 \h </w:instrText>
        </w:r>
        <w:r w:rsidRPr="00286A7C">
          <w:rPr>
            <w:noProof/>
            <w:webHidden/>
          </w:rPr>
        </w:r>
        <w:r w:rsidRPr="00286A7C">
          <w:rPr>
            <w:noProof/>
            <w:webHidden/>
          </w:rPr>
          <w:fldChar w:fldCharType="separate"/>
        </w:r>
        <w:r w:rsidR="005330BA">
          <w:rPr>
            <w:noProof/>
            <w:webHidden/>
          </w:rPr>
          <w:t>30</w:t>
        </w:r>
        <w:r w:rsidRPr="00286A7C">
          <w:rPr>
            <w:noProof/>
            <w:webHidden/>
          </w:rPr>
          <w:fldChar w:fldCharType="end"/>
        </w:r>
      </w:hyperlink>
    </w:p>
    <w:p w:rsidR="00A63499" w:rsidRPr="00286A7C" w:rsidRDefault="00082223"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Pr="00286A7C">
          <w:rPr>
            <w:noProof/>
            <w:webHidden/>
          </w:rPr>
          <w:fldChar w:fldCharType="begin"/>
        </w:r>
        <w:r w:rsidR="00A63499" w:rsidRPr="00286A7C">
          <w:rPr>
            <w:noProof/>
            <w:webHidden/>
          </w:rPr>
          <w:instrText xml:space="preserve"> PAGEREF _Toc240079590 \h </w:instrText>
        </w:r>
        <w:r w:rsidRPr="00286A7C">
          <w:rPr>
            <w:noProof/>
            <w:webHidden/>
          </w:rPr>
        </w:r>
        <w:r w:rsidRPr="00286A7C">
          <w:rPr>
            <w:noProof/>
            <w:webHidden/>
          </w:rPr>
          <w:fldChar w:fldCharType="separate"/>
        </w:r>
        <w:r w:rsidR="005330BA">
          <w:rPr>
            <w:noProof/>
            <w:webHidden/>
          </w:rPr>
          <w:t>30</w:t>
        </w:r>
        <w:r w:rsidRPr="00286A7C">
          <w:rPr>
            <w:noProof/>
            <w:webHidden/>
          </w:rPr>
          <w:fldChar w:fldCharType="end"/>
        </w:r>
      </w:hyperlink>
    </w:p>
    <w:p w:rsidR="00A63499" w:rsidRPr="00286A7C" w:rsidRDefault="00082223"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Pr="00286A7C">
          <w:rPr>
            <w:noProof/>
            <w:webHidden/>
          </w:rPr>
          <w:fldChar w:fldCharType="begin"/>
        </w:r>
        <w:r w:rsidR="00A63499" w:rsidRPr="00286A7C">
          <w:rPr>
            <w:noProof/>
            <w:webHidden/>
          </w:rPr>
          <w:instrText xml:space="preserve"> PAGEREF _Toc240079594 \h </w:instrText>
        </w:r>
        <w:r w:rsidRPr="00286A7C">
          <w:rPr>
            <w:noProof/>
            <w:webHidden/>
          </w:rPr>
        </w:r>
        <w:r w:rsidRPr="00286A7C">
          <w:rPr>
            <w:noProof/>
            <w:webHidden/>
          </w:rPr>
          <w:fldChar w:fldCharType="separate"/>
        </w:r>
        <w:r w:rsidR="005330BA">
          <w:rPr>
            <w:noProof/>
            <w:webHidden/>
          </w:rPr>
          <w:t>31</w:t>
        </w:r>
        <w:r w:rsidRPr="00286A7C">
          <w:rPr>
            <w:noProof/>
            <w:webHidden/>
          </w:rPr>
          <w:fldChar w:fldCharType="end"/>
        </w:r>
      </w:hyperlink>
    </w:p>
    <w:p w:rsidR="00A63499" w:rsidRPr="00286A7C" w:rsidRDefault="00082223"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Pr="00286A7C">
          <w:rPr>
            <w:noProof/>
            <w:webHidden/>
          </w:rPr>
          <w:fldChar w:fldCharType="begin"/>
        </w:r>
        <w:r w:rsidR="00A63499" w:rsidRPr="00286A7C">
          <w:rPr>
            <w:noProof/>
            <w:webHidden/>
          </w:rPr>
          <w:instrText xml:space="preserve"> PAGEREF _Toc240079595 \h </w:instrText>
        </w:r>
        <w:r w:rsidRPr="00286A7C">
          <w:rPr>
            <w:noProof/>
            <w:webHidden/>
          </w:rPr>
        </w:r>
        <w:r w:rsidRPr="00286A7C">
          <w:rPr>
            <w:noProof/>
            <w:webHidden/>
          </w:rPr>
          <w:fldChar w:fldCharType="separate"/>
        </w:r>
        <w:r w:rsidR="005330BA">
          <w:rPr>
            <w:noProof/>
            <w:webHidden/>
          </w:rPr>
          <w:t>31</w:t>
        </w:r>
        <w:r w:rsidRPr="00286A7C">
          <w:rPr>
            <w:noProof/>
            <w:webHidden/>
          </w:rPr>
          <w:fldChar w:fldCharType="end"/>
        </w:r>
      </w:hyperlink>
    </w:p>
    <w:p w:rsidR="00A63499" w:rsidRDefault="00082223"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Pr="00286A7C">
          <w:rPr>
            <w:noProof/>
            <w:webHidden/>
          </w:rPr>
          <w:fldChar w:fldCharType="begin"/>
        </w:r>
        <w:r w:rsidR="00A63499" w:rsidRPr="00286A7C">
          <w:rPr>
            <w:noProof/>
            <w:webHidden/>
          </w:rPr>
          <w:instrText xml:space="preserve"> PAGEREF _Toc240079608 \h </w:instrText>
        </w:r>
        <w:r w:rsidRPr="00286A7C">
          <w:rPr>
            <w:noProof/>
            <w:webHidden/>
          </w:rPr>
        </w:r>
        <w:r w:rsidRPr="00286A7C">
          <w:rPr>
            <w:noProof/>
            <w:webHidden/>
          </w:rPr>
          <w:fldChar w:fldCharType="separate"/>
        </w:r>
        <w:r w:rsidR="005330BA">
          <w:rPr>
            <w:noProof/>
            <w:webHidden/>
          </w:rPr>
          <w:t>32</w:t>
        </w:r>
        <w:r w:rsidRPr="00286A7C">
          <w:rPr>
            <w:noProof/>
            <w:webHidden/>
          </w:rPr>
          <w:fldChar w:fldCharType="end"/>
        </w:r>
      </w:hyperlink>
    </w:p>
    <w:p w:rsidR="00603326" w:rsidRDefault="00082223"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Pr="00286A7C">
          <w:rPr>
            <w:noProof/>
            <w:webHidden/>
          </w:rPr>
          <w:fldChar w:fldCharType="begin"/>
        </w:r>
        <w:r w:rsidR="00603326" w:rsidRPr="00286A7C">
          <w:rPr>
            <w:noProof/>
            <w:webHidden/>
          </w:rPr>
          <w:instrText xml:space="preserve"> PAGEREF _Toc240079608 \h </w:instrText>
        </w:r>
        <w:r w:rsidRPr="00286A7C">
          <w:rPr>
            <w:noProof/>
            <w:webHidden/>
          </w:rPr>
        </w:r>
        <w:r w:rsidRPr="00286A7C">
          <w:rPr>
            <w:noProof/>
            <w:webHidden/>
          </w:rPr>
          <w:fldChar w:fldCharType="separate"/>
        </w:r>
        <w:r w:rsidR="005330BA">
          <w:rPr>
            <w:noProof/>
            <w:webHidden/>
          </w:rPr>
          <w:t>32</w:t>
        </w:r>
        <w:r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082223" w:rsidP="00A63499">
      <w:pPr>
        <w:sectPr w:rsidR="00A63499" w:rsidRPr="00286A7C" w:rsidSect="00775751">
          <w:headerReference w:type="even" r:id="rId20"/>
          <w:headerReference w:type="default" r:id="rId21"/>
          <w:footerReference w:type="default" r:id="rId22"/>
          <w:headerReference w:type="first" r:id="rId23"/>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fldSimple w:instr=" REF _Ref36355794 \r \h  \* MERGEFORMAT ">
        <w:r w:rsidR="005330BA" w:rsidRPr="005330BA">
          <w:rPr>
            <w:rStyle w:val="Hyperlink"/>
            <w:b w:val="0"/>
          </w:rPr>
          <w:t>1.17</w:t>
        </w:r>
      </w:fldSimple>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(aa)</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 xml:space="preserve">(bb)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fldSimple w:instr=" REF _Ref100559872 \r \h  \* MERGEFORMAT ">
        <w:r w:rsidR="005330BA">
          <w:t>(a)</w:t>
        </w:r>
      </w:fldSimple>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082223" w:rsidRPr="00286A7C">
        <w:fldChar w:fldCharType="begin"/>
      </w:r>
      <w:r w:rsidRPr="00286A7C">
        <w:instrText xml:space="preserve"> REF _Ref100478635 \r \h  \* MERGEFORMAT </w:instrText>
      </w:r>
      <w:r w:rsidR="00082223" w:rsidRPr="00286A7C">
        <w:fldChar w:fldCharType="separate"/>
      </w:r>
      <w:r w:rsidR="005330BA">
        <w:t>34</w:t>
      </w:r>
      <w:r w:rsidR="00082223"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(HoPE)</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minus the value of all outstanding or uncompleted portions of the projects under ongoing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fldSimple w:instr=" REF _Ref242695033 \r \h  \* MERGEFORMAT ">
        <w:r w:rsidR="005330BA">
          <w:t>10.4</w:t>
        </w:r>
      </w:fldSimple>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r w:rsidR="00A63499">
        <w:t>GoP</w:t>
      </w:r>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Authorizing the H</w:t>
      </w:r>
      <w:r w:rsidR="00A63499">
        <w:t>oPE</w:t>
      </w:r>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However, the Procuring Entity shall ensure that all information in the Bidding Documents, including supplemental/bid bulletins issued are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fldSimple w:instr=" REF _Ref242699960 \r \h  \* MERGEFORMAT ">
        <w:r w:rsidR="005330BA">
          <w:t>12</w:t>
        </w:r>
      </w:fldSimple>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PhilGEPS website</w:t>
      </w:r>
      <w:r w:rsidRPr="00AA47C1">
        <w:t xml:space="preserve">. If the Procuring Entity determines that, by reason of the method, nature, or complexity of the contract to be bid, or when international participation will be more advantageous to the </w:t>
      </w:r>
      <w:r>
        <w:t>GoP</w:t>
      </w:r>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n the PhilGEPS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fldSimple w:instr=" REF _Ref240688693 \r \h  \* MERGEFORMAT ">
        <w:r w:rsidR="005330BA" w:rsidRPr="005330BA">
          <w:rPr>
            <w:szCs w:val="24"/>
          </w:rPr>
          <w:t>23</w:t>
        </w:r>
      </w:fldSimple>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r>
        <w:t xml:space="preserve">PhilGEPS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bidders participating in the procurement by a Philippine Foreign Service Office or Post, which shall submit their eligibility documents under Section 23.1 of the IRR, provided, that the winning bidder shall register with the PhilGEPS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r w:rsidRPr="0048201A">
        <w:t xml:space="preserve">Statement </w:t>
      </w:r>
      <w:r>
        <w:t>of</w:t>
      </w:r>
      <w:r w:rsidRPr="0048201A">
        <w:t xml:space="preserve"> the Bidder’s </w:t>
      </w:r>
      <w:r>
        <w:t>SLCC</w:t>
      </w:r>
      <w:r w:rsidRPr="0048201A">
        <w:t xml:space="preserve"> similar to the contract to be bid</w:t>
      </w:r>
      <w:r>
        <w:t>, in accordance with ITB Clause 5.4.</w:t>
      </w:r>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r w:rsidRPr="000C6926">
        <w:t xml:space="preserve">(ii.11) </w:t>
      </w:r>
      <w:r w:rsidRPr="000C6926">
        <w:tab/>
        <w:t>value of outstanding works, if applicable</w:t>
      </w:r>
      <w:r>
        <w:t>.</w:t>
      </w:r>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fldSimple w:instr=" REF _Ref100483235 \r \h  \* MERGEFORMAT ">
        <w:r w:rsidR="005330BA">
          <w:t>18</w:t>
        </w:r>
      </w:fldSimple>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r>
        <w:rPr>
          <w:szCs w:val="24"/>
        </w:rPr>
        <w:t>(iv)</w:t>
      </w:r>
      <w:r w:rsidR="00A63499" w:rsidRPr="00286A7C">
        <w:rPr>
          <w:szCs w:val="24"/>
        </w:rPr>
        <w:t xml:space="preserve"> The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fldSimple w:instr=" REF _Ref36952312 \r \h  \* MERGEFORMAT ">
        <w:r w:rsidR="005330BA">
          <w:t>1.1</w:t>
        </w:r>
      </w:fldSimple>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082223" w:rsidRPr="00286A7C">
        <w:fldChar w:fldCharType="begin"/>
      </w:r>
      <w:r w:rsidRPr="00286A7C">
        <w:instrText xml:space="preserve"> REF _Ref100482848 \r \h  \* MERGEFORMAT </w:instrText>
      </w:r>
      <w:r w:rsidR="00082223" w:rsidRPr="00286A7C">
        <w:fldChar w:fldCharType="separate"/>
      </w:r>
      <w:r w:rsidR="005330BA">
        <w:t>48</w:t>
      </w:r>
      <w:r w:rsidR="00082223"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r>
        <w:rPr>
          <w:rFonts w:cs="Tahoma"/>
          <w:szCs w:val="22"/>
        </w:rPr>
        <w:t>GoP</w:t>
      </w:r>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fldSimple w:instr=" REF _Ref240096273 \r \h  \* MERGEFORMAT ">
        <w:r w:rsidR="005330BA">
          <w:t>16.1</w:t>
        </w:r>
      </w:fldSimple>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r>
        <w:rPr>
          <w:i/>
        </w:rPr>
        <w:t xml:space="preserve">Bangko Sentral ng Pilipinas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fldSimple w:instr=" REF _Ref100483235 \r \h  \* MERGEFORMAT ">
        <w:r w:rsidR="005330BA">
          <w:t>18</w:t>
        </w:r>
      </w:fldSimple>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or lapse of the reglementary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fldSimple w:instr=" REF _Ref240128322 \r \h  \* MERGEFORMAT ">
        <w:r w:rsidR="005330BA" w:rsidRPr="005330BA">
          <w:rPr>
            <w:rStyle w:val="Hyperlink"/>
            <w:b w:val="0"/>
          </w:rPr>
          <w:t>18.2</w:t>
        </w:r>
      </w:fldSimple>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fldSimple w:instr=" REF _Ref242166160 \r \h  \* MERGEFORMAT ">
        <w:r w:rsidR="005330BA">
          <w:t>31</w:t>
        </w:r>
      </w:fldSimple>
      <w:r w:rsidRPr="00CB5C9D">
        <w:t xml:space="preserve">, and the posting of the performance security, pursuant to </w:t>
      </w:r>
      <w:r w:rsidRPr="00CB5C9D">
        <w:rPr>
          <w:b/>
        </w:rPr>
        <w:t>ITB</w:t>
      </w:r>
      <w:r w:rsidRPr="00CB5C9D">
        <w:t xml:space="preserve"> Clause </w:t>
      </w:r>
      <w:fldSimple w:instr=" REF _Ref242166167 \r \h  \* MERGEFORMAT ">
        <w:r w:rsidR="005330BA">
          <w:t>32</w:t>
        </w:r>
      </w:fldSimple>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fldSimple w:instr=" REF _Ref240128322 \r \h  \* MERGEFORMAT ">
        <w:r w:rsidR="005330BA" w:rsidRPr="005330BA">
          <w:rPr>
            <w:rStyle w:val="Hyperlink"/>
            <w:b w:val="0"/>
          </w:rPr>
          <w:t>18.2</w:t>
        </w:r>
      </w:fldSimple>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r w:rsidR="00A63499" w:rsidRPr="00286A7C">
        <w:t>if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r>
        <w:t xml:space="preserve">i.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r w:rsidR="00A63499" w:rsidRPr="00CB5C9D">
        <w:t xml:space="preserve">does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r w:rsidR="00A63499" w:rsidRPr="00A14C84">
        <w:t xml:space="preserve">has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r w:rsidR="00A63499" w:rsidRPr="00286A7C">
        <w:t>submission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r w:rsidR="00A63499" w:rsidRPr="00286A7C">
        <w:t>allowing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r w:rsidRPr="00286A7C">
        <w:t>all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r w:rsidR="00A63499" w:rsidRPr="00286A7C">
        <w:t>if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r>
        <w:t xml:space="preserve">i.             </w:t>
      </w:r>
      <w:r w:rsidR="00A63499" w:rsidRPr="00286A7C">
        <w:t xml:space="preserve">fails to sign the contract in accordance with </w:t>
      </w:r>
      <w:r w:rsidR="00A63499" w:rsidRPr="00286A7C">
        <w:rPr>
          <w:b/>
        </w:rPr>
        <w:t>ITB</w:t>
      </w:r>
      <w:r w:rsidR="00A63499" w:rsidRPr="00286A7C">
        <w:t xml:space="preserve"> Clause </w:t>
      </w:r>
      <w:fldSimple w:instr=" REF _Ref240691697 \r \h  \* MERGEFORMAT ">
        <w:r w:rsidR="005330BA">
          <w:t>31</w:t>
        </w:r>
      </w:fldSimple>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r w:rsidR="00A63499" w:rsidRPr="00286A7C">
        <w:t xml:space="preserve">fails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fldSimple w:instr=" REF _Ref240691710 \r \h  \* MERGEFORMAT ">
        <w:r w:rsidR="005330BA">
          <w:t>32</w:t>
        </w:r>
      </w:fldSimple>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fldSimple w:instr=" REF _Ref242166249 \r \h  \* MERGEFORMAT ">
        <w:r w:rsidR="005330BA">
          <w:t>21</w:t>
        </w:r>
      </w:fldSimple>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fldSimple w:instr=" REF _Ref240085317 \r \h  \* MERGEFORMAT ">
        <w:r w:rsidR="005330BA">
          <w:t>12.1</w:t>
        </w:r>
      </w:fldSimple>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fldSimple w:instr=" REF _Ref242166301 \r \h  \* MERGEFORMAT ">
        <w:r w:rsidR="005330BA">
          <w:t>19.1</w:t>
        </w:r>
      </w:fldSimple>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fldSimple w:instr=" REF _Ref242166279 \r \h  \* MERGEFORMAT ">
        <w:r w:rsidR="005330BA">
          <w:t>12</w:t>
        </w:r>
      </w:fldSimple>
      <w:r w:rsidRPr="00286A7C">
        <w:t xml:space="preserve"> and </w:t>
      </w:r>
      <w:fldSimple w:instr=" REF _Ref242166288 \r \h  \* MERGEFORMAT ">
        <w:r w:rsidR="005330BA">
          <w:t>13</w:t>
        </w:r>
      </w:fldSimple>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fldSimple w:instr=" REF _Ref240183869 \r \h  \* MERGEFORMAT ">
        <w:r w:rsidR="005330BA">
          <w:t>12</w:t>
        </w:r>
      </w:fldSimple>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r w:rsidR="00A63499" w:rsidRPr="00286A7C">
        <w:t>contain the name of the contract to be bid in capital letters;</w:t>
      </w:r>
    </w:p>
    <w:p w:rsidR="00A63499" w:rsidRPr="00286A7C" w:rsidRDefault="008E1091" w:rsidP="008E1091">
      <w:pPr>
        <w:pStyle w:val="Style1"/>
        <w:numPr>
          <w:ilvl w:val="0"/>
          <w:numId w:val="0"/>
        </w:numPr>
        <w:spacing w:before="240"/>
        <w:ind w:left="1440"/>
      </w:pPr>
      <w:r>
        <w:t xml:space="preserve">b) </w:t>
      </w:r>
      <w:r w:rsidR="00A63499" w:rsidRPr="00286A7C">
        <w:t>bear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r w:rsidR="00A63499" w:rsidRPr="00286A7C">
        <w:t xml:space="preserve">be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r w:rsidR="00A63499" w:rsidRPr="00286A7C">
        <w:t xml:space="preserve">bear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r w:rsidR="00A63499" w:rsidRPr="00286A7C">
        <w:t xml:space="preserve">bear a warning “DO NOT OPEN BEFORE…” the date and time for the opening of bids, in accordance with </w:t>
      </w:r>
      <w:r w:rsidR="00A63499" w:rsidRPr="00286A7C">
        <w:rPr>
          <w:b/>
        </w:rPr>
        <w:t>ITB</w:t>
      </w:r>
      <w:r w:rsidR="00A63499" w:rsidRPr="00286A7C">
        <w:t xml:space="preserve"> Clause </w:t>
      </w:r>
      <w:fldSimple w:instr=" REF _Ref241918453 \r \h  \* MERGEFORMAT ">
        <w:r w:rsidR="005330BA">
          <w:t>21</w:t>
        </w:r>
      </w:fldSimple>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fldSimple w:instr=" REF _Ref240698585 \r \h  \* MERGEFORMAT ">
        <w:r w:rsidR="005330BA">
          <w:t>21</w:t>
        </w:r>
      </w:fldSimple>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fldSimple w:instr=" REF _Ref240698625 \r \h  \* MERGEFORMAT ">
        <w:r w:rsidR="005330BA">
          <w:t>23.1</w:t>
        </w:r>
      </w:fldSimple>
      <w:r w:rsidRPr="00286A7C">
        <w:t xml:space="preserve"> shall be returned unopened to the Bidders. </w:t>
      </w:r>
      <w:r>
        <w:t>A Bidder, who has acquired the bidding documents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fldSimple w:instr=" REF _Ref36543815 \r \h  \* MERGEFORMAT ">
        <w:r w:rsidR="005330BA">
          <w:t>18.5</w:t>
        </w:r>
      </w:fldSimple>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PhilGEPS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fldSimple w:instr=" REF _Ref99266420 \r \h  \* MERGEFORMAT ">
        <w:r w:rsidR="005330BA">
          <w:t>5</w:t>
        </w:r>
      </w:fldSimple>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uploaded and maintained in the PhilGEPS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12.1(a)(i)</w:t>
      </w:r>
      <w:r w:rsidRPr="00286A7C">
        <w:t xml:space="preserve">. Submission of documents required under </w:t>
      </w:r>
      <w:r w:rsidRPr="00286A7C">
        <w:rPr>
          <w:b/>
        </w:rPr>
        <w:t>ITB</w:t>
      </w:r>
      <w:r w:rsidRPr="00286A7C">
        <w:t xml:space="preserve"> Clauses </w:t>
      </w:r>
      <w:r w:rsidR="00EA1F60">
        <w:t>12.1(a)(ii)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idders whose bids it has received through its PhilGEPS-registered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fldSimple w:instr=" REF _Ref240700387 \r \h  \* MERGEFORMAT ">
        <w:r w:rsidR="005330BA">
          <w:t>12</w:t>
        </w:r>
      </w:fldSimple>
      <w:r w:rsidRPr="00286A7C">
        <w:t xml:space="preserve">, and </w:t>
      </w:r>
      <w:fldSimple w:instr=" REF _Ref240700401 \r \h  \* MERGEFORMAT ">
        <w:r w:rsidR="005330BA">
          <w:t>13</w:t>
        </w:r>
      </w:fldSimple>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 xml:space="preserve">its latest income and business tax returns filed and paid through the BIR Electronic Filing and Payment System (eFPS)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fldSimple w:instr=" REF _Ref240700541 \r \h  \* MERGEFORMAT ">
        <w:r w:rsidR="005330BA">
          <w:t>12</w:t>
        </w:r>
      </w:fldSimple>
      <w:r w:rsidRPr="00286A7C">
        <w:t xml:space="preserve"> and </w:t>
      </w:r>
      <w:fldSimple w:instr=" REF _Ref240700549 \r \h  \* MERGEFORMAT ">
        <w:r w:rsidR="005330BA">
          <w:t>13</w:t>
        </w:r>
      </w:fldSimple>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and recommend to the H</w:t>
      </w:r>
      <w:r>
        <w:t>oPE</w:t>
      </w:r>
      <w:r w:rsidRPr="00286A7C">
        <w:t xml:space="preserve"> the award of contract to the said Bidder at its submitted price or its calculated bid price, whichever is lower, subject to </w:t>
      </w:r>
      <w:r w:rsidRPr="00286A7C">
        <w:rPr>
          <w:b/>
        </w:rPr>
        <w:t>ITB</w:t>
      </w:r>
      <w:r w:rsidRPr="00286A7C">
        <w:t xml:space="preserve"> Clause </w:t>
      </w:r>
      <w:fldSimple w:instr=" REF _Ref242760095 \r \h  \* MERGEFORMAT ">
        <w:r w:rsidR="005330BA">
          <w:t>30.3</w:t>
        </w:r>
      </w:fldSimple>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the H</w:t>
      </w:r>
      <w:r>
        <w:t>oPE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In the event of disapproval, which shall be based on valid, reasonable, and justifiable grounds as provided for under Section 41 of the IRR of RA 9184, the HoPE shall notify the BAC and the Bidder in writing of such decision and the grounds for it. When applicable, the BAC shall conduct a post-qualification of the Bidder with the next Lowest Calculated Bid. A request for reconsideration may be filed by the Bidder with the HoPE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If the Procuring Entity’s BAC is found to have failed in  following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r w:rsidR="00A63499">
        <w:t>HoPE</w:t>
      </w:r>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r w:rsidR="00A63499">
        <w:t>HoPE</w:t>
      </w:r>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fldSimple w:instr=" REF _Ref240700697 \r \h  \* MERGEFORMAT ">
        <w:r w:rsidR="005330BA" w:rsidRPr="005330BA">
          <w:rPr>
            <w:bCs w:val="0"/>
          </w:rPr>
          <w:t>28</w:t>
        </w:r>
      </w:fldSimple>
      <w:r w:rsidRPr="00286A7C">
        <w:t xml:space="preserve">, the </w:t>
      </w:r>
      <w:r>
        <w:t>HoPE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In the case of procurement by a Philippine Foreign Service Office or Post, the PhilGEPS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fldSimple w:instr=" REF _Ref240700839 \r \h  \* MERGEFORMAT ">
        <w:r w:rsidR="005330BA">
          <w:t>32</w:t>
        </w:r>
      </w:fldSimple>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fldSimple w:instr=" REF _Ref240700789 \r \h  \* MERGEFORMAT ">
        <w:r w:rsidR="005330BA">
          <w:t>31</w:t>
        </w:r>
      </w:fldSimple>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The Procuring Entity shall enter into contract with the successful Bidder within the same ten (10) calendar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082223"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4"/>
          <w:headerReference w:type="default" r:id="rId25"/>
          <w:headerReference w:type="first" r:id="rId26"/>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Tuguegarao</w:t>
            </w:r>
            <w:r w:rsidR="00F510EB" w:rsidRPr="004D4FA4">
              <w:rPr>
                <w:i/>
              </w:rPr>
              <w:t>.</w:t>
            </w:r>
          </w:p>
          <w:p w:rsidR="0072110E" w:rsidRDefault="0072110E" w:rsidP="0072110E">
            <w:pPr>
              <w:widowControl w:val="0"/>
              <w:rPr>
                <w:b/>
                <w:szCs w:val="24"/>
              </w:rPr>
            </w:pPr>
            <w:r>
              <w:rPr>
                <w:szCs w:val="24"/>
              </w:rPr>
              <w:t xml:space="preserve">The name of the Contract is the </w:t>
            </w:r>
            <w:r w:rsidR="007A0DEF" w:rsidRPr="007A0DEF">
              <w:rPr>
                <w:b/>
                <w:spacing w:val="-2"/>
              </w:rPr>
              <w:t xml:space="preserve">Construction of </w:t>
            </w:r>
            <w:r w:rsidR="008D262F">
              <w:rPr>
                <w:b/>
                <w:spacing w:val="-2"/>
              </w:rPr>
              <w:t xml:space="preserve">Masonry </w:t>
            </w:r>
            <w:r w:rsidR="007A0DEF" w:rsidRPr="007A0DEF">
              <w:rPr>
                <w:b/>
                <w:spacing w:val="-2"/>
              </w:rPr>
              <w:t>Drainage</w:t>
            </w:r>
            <w:r w:rsidR="003732CE">
              <w:rPr>
                <w:b/>
                <w:spacing w:val="-2"/>
              </w:rPr>
              <w:t xml:space="preserve"> Structure</w:t>
            </w:r>
            <w:r w:rsidR="007A0DEF" w:rsidRPr="007A0DEF">
              <w:rPr>
                <w:b/>
                <w:spacing w:val="-2"/>
              </w:rPr>
              <w:t xml:space="preserve">, </w:t>
            </w:r>
            <w:r w:rsidR="003732CE">
              <w:rPr>
                <w:b/>
                <w:spacing w:val="-2"/>
              </w:rPr>
              <w:t>Arao</w:t>
            </w:r>
            <w:r w:rsidR="007A0DEF" w:rsidRPr="007A0DEF">
              <w:rPr>
                <w:b/>
                <w:spacing w:val="-2"/>
              </w:rPr>
              <w:t xml:space="preserve"> St.</w:t>
            </w:r>
            <w:r w:rsidR="003732CE">
              <w:rPr>
                <w:b/>
                <w:spacing w:val="-2"/>
              </w:rPr>
              <w:t xml:space="preserve"> Extension</w:t>
            </w:r>
            <w:r w:rsidR="007A0DEF" w:rsidRPr="007A0DEF">
              <w:rPr>
                <w:b/>
                <w:spacing w:val="-2"/>
              </w:rPr>
              <w:t xml:space="preserve">, </w:t>
            </w:r>
            <w:r w:rsidR="003732CE">
              <w:rPr>
                <w:b/>
                <w:spacing w:val="-2"/>
              </w:rPr>
              <w:t>Ugac</w:t>
            </w:r>
            <w:r w:rsidR="007A0DEF" w:rsidRPr="007A0DEF">
              <w:rPr>
                <w:b/>
                <w:spacing w:val="-2"/>
              </w:rPr>
              <w:t xml:space="preserve"> Sur, Tuguegarao City</w:t>
            </w:r>
          </w:p>
          <w:p w:rsidR="0072110E" w:rsidRPr="004D4FA4" w:rsidRDefault="0072110E" w:rsidP="0072110E">
            <w:pPr>
              <w:widowControl w:val="0"/>
              <w:rPr>
                <w:i/>
                <w:szCs w:val="24"/>
              </w:rPr>
            </w:pPr>
          </w:p>
          <w:p w:rsidR="0072110E" w:rsidRPr="004D4FA4" w:rsidRDefault="0072110E" w:rsidP="0072110E">
            <w:pPr>
              <w:spacing w:after="240"/>
              <w:rPr>
                <w:i/>
              </w:rPr>
            </w:pPr>
            <w:r w:rsidRPr="004D4FA4">
              <w:rPr>
                <w:szCs w:val="24"/>
              </w:rPr>
              <w:t xml:space="preserve">The identification number of the Contract is </w:t>
            </w:r>
            <w:r w:rsidRPr="00BA44F8">
              <w:rPr>
                <w:b/>
                <w:szCs w:val="24"/>
              </w:rPr>
              <w:t xml:space="preserve">PB No. </w:t>
            </w:r>
            <w:r w:rsidR="003732CE">
              <w:rPr>
                <w:b/>
                <w:szCs w:val="24"/>
              </w:rPr>
              <w:t>INF-2021</w:t>
            </w:r>
            <w:r w:rsidRPr="00BA44F8">
              <w:rPr>
                <w:b/>
                <w:szCs w:val="24"/>
              </w:rPr>
              <w:t>-0</w:t>
            </w:r>
            <w:r w:rsidR="003732CE">
              <w:rPr>
                <w:b/>
                <w:szCs w:val="24"/>
              </w:rPr>
              <w:t>10</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The City Government of Tuguegarao</w:t>
            </w:r>
            <w:r w:rsidR="00AE6996" w:rsidRPr="004D4FA4">
              <w:rPr>
                <w:spacing w:val="-2"/>
              </w:rPr>
              <w:t xml:space="preserve">, through the </w:t>
            </w:r>
            <w:r w:rsidR="007A0DEF">
              <w:rPr>
                <w:spacing w:val="-2"/>
              </w:rPr>
              <w:t>20% Development Fund</w:t>
            </w:r>
            <w:r w:rsidR="00943CC5">
              <w:rPr>
                <w:spacing w:val="-2"/>
              </w:rPr>
              <w:t xml:space="preserve"> </w:t>
            </w:r>
            <w:r w:rsidR="009C6DE8">
              <w:rPr>
                <w:spacing w:val="-2"/>
              </w:rPr>
              <w:t xml:space="preserve">for Calendar Year </w:t>
            </w:r>
            <w:r w:rsidR="009E7FBC">
              <w:rPr>
                <w:spacing w:val="-2"/>
              </w:rPr>
              <w:t>2021</w:t>
            </w:r>
            <w:r w:rsidR="00AE6996" w:rsidRPr="004D4FA4">
              <w:rPr>
                <w:spacing w:val="-2"/>
              </w:rPr>
              <w:t xml:space="preserve">, </w:t>
            </w:r>
            <w:r w:rsidR="00AE6996" w:rsidRPr="004D4FA4">
              <w:rPr>
                <w:szCs w:val="24"/>
              </w:rPr>
              <w:t xml:space="preserve">intends to apply the amount of </w:t>
            </w:r>
            <w:r w:rsidR="009E7FBC" w:rsidRPr="009E7FBC">
              <w:rPr>
                <w:b/>
                <w:szCs w:val="24"/>
              </w:rPr>
              <w:t>Two</w:t>
            </w:r>
            <w:r w:rsidR="009E7FBC">
              <w:rPr>
                <w:szCs w:val="24"/>
              </w:rPr>
              <w:t xml:space="preserve"> </w:t>
            </w:r>
            <w:r w:rsidR="007A0DEF" w:rsidRPr="007A0DEF">
              <w:rPr>
                <w:b/>
                <w:spacing w:val="-2"/>
              </w:rPr>
              <w:t xml:space="preserve">Million </w:t>
            </w:r>
            <w:r w:rsidR="009E7FBC">
              <w:rPr>
                <w:b/>
                <w:spacing w:val="-2"/>
              </w:rPr>
              <w:t>Five</w:t>
            </w:r>
            <w:r w:rsidR="007A0DEF" w:rsidRPr="007A0DEF">
              <w:rPr>
                <w:b/>
                <w:spacing w:val="-2"/>
              </w:rPr>
              <w:t xml:space="preserve"> Hun</w:t>
            </w:r>
            <w:r w:rsidR="009E7FBC">
              <w:rPr>
                <w:b/>
                <w:spacing w:val="-2"/>
              </w:rPr>
              <w:t>dred Forty Thousand Eighty Six Pesos and Sixty Centavos (Php2,540,086.6</w:t>
            </w:r>
            <w:r w:rsidR="007A0DEF" w:rsidRPr="007A0DEF">
              <w:rPr>
                <w:b/>
                <w:spacing w:val="-2"/>
              </w:rPr>
              <w:t>0)</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7A0DEF">
              <w:rPr>
                <w:spacing w:val="-2"/>
              </w:rPr>
              <w:t xml:space="preserve">Construction of </w:t>
            </w:r>
            <w:r w:rsidR="008D262F">
              <w:rPr>
                <w:spacing w:val="-2"/>
              </w:rPr>
              <w:t xml:space="preserve">Masonry </w:t>
            </w:r>
            <w:r w:rsidR="007A0DEF">
              <w:rPr>
                <w:spacing w:val="-2"/>
              </w:rPr>
              <w:t>Drainage, Along Tobias St., Carig Sur, Tuguegarao City</w:t>
            </w:r>
            <w:r w:rsidR="00504B27">
              <w:rPr>
                <w:b/>
                <w:szCs w:val="24"/>
              </w:rPr>
              <w:t xml:space="preserve">, </w:t>
            </w:r>
            <w:r w:rsidR="00FD10EA" w:rsidRPr="004D4FA4">
              <w:t>under</w:t>
            </w:r>
            <w:r w:rsidR="00BD5306">
              <w:t xml:space="preserve"> </w:t>
            </w:r>
            <w:r w:rsidR="004E28A0">
              <w:rPr>
                <w:b/>
                <w:szCs w:val="24"/>
              </w:rPr>
              <w:t>PB No. INF-2021</w:t>
            </w:r>
            <w:r w:rsidR="006C2D9A" w:rsidRPr="00BA44F8">
              <w:rPr>
                <w:b/>
                <w:szCs w:val="24"/>
              </w:rPr>
              <w:t>-0</w:t>
            </w:r>
            <w:r w:rsidR="007A0DEF">
              <w:rPr>
                <w:b/>
                <w:szCs w:val="24"/>
              </w:rPr>
              <w:t>1</w:t>
            </w:r>
            <w:r w:rsidR="004E28A0">
              <w:rPr>
                <w:b/>
                <w:szCs w:val="24"/>
              </w:rPr>
              <w:t>0</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082223" w:rsidP="00153E59">
            <w:r w:rsidRPr="004D4FA4">
              <w:fldChar w:fldCharType="begin"/>
            </w:r>
            <w:r w:rsidR="00F309BD" w:rsidRPr="004D4FA4">
              <w:instrText xml:space="preserve"> REF _Ref97976536 \r \h  \* MERGEFORMAT </w:instrText>
            </w:r>
            <w:r w:rsidRPr="004D4FA4">
              <w:fldChar w:fldCharType="separate"/>
            </w:r>
            <w:r w:rsidR="005330BA">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B73BE5">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7A0DEF">
              <w:t>Drainage</w:t>
            </w:r>
            <w:r w:rsidR="00850FE1">
              <w:t xml:space="preserve"> </w:t>
            </w:r>
            <w:r w:rsidR="00B73BE5">
              <w:t>Structure</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082223" w:rsidP="00153E59">
            <w:fldSimple w:instr=" REF _Ref242621981 \r \h  \* MERGEFORMAT ">
              <w:r w:rsidR="005330BA">
                <w:t>8.2</w:t>
              </w:r>
            </w:fldSimple>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EE5924">
            <w:pPr>
              <w:spacing w:after="240"/>
            </w:pPr>
            <w:r w:rsidRPr="004D4FA4">
              <w:t xml:space="preserve">The City Government of Tuguegarao, through its Bids and Awards Committee, will hold a pre-bid conference for this Project on </w:t>
            </w:r>
            <w:r w:rsidR="00EE5924">
              <w:rPr>
                <w:spacing w:val="-2"/>
              </w:rPr>
              <w:t>April 7, 2021</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Carig, Tuguegarao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The City Government of Tuguegarao</w:t>
            </w:r>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r w:rsidRPr="0092306A">
              <w:rPr>
                <w:rFonts w:ascii="Times New Roman" w:hAnsi="Times New Roman"/>
                <w:i/>
                <w:sz w:val="24"/>
              </w:rPr>
              <w:t>Carig, Tuguegarao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lastRenderedPageBreak/>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86130E" w:rsidRPr="009E7FBC">
              <w:rPr>
                <w:b/>
                <w:szCs w:val="24"/>
              </w:rPr>
              <w:t>Two</w:t>
            </w:r>
            <w:r w:rsidR="0086130E">
              <w:rPr>
                <w:szCs w:val="24"/>
              </w:rPr>
              <w:t xml:space="preserve"> </w:t>
            </w:r>
            <w:r w:rsidR="0086130E" w:rsidRPr="007A0DEF">
              <w:rPr>
                <w:b/>
                <w:spacing w:val="-2"/>
              </w:rPr>
              <w:t xml:space="preserve">Million </w:t>
            </w:r>
            <w:r w:rsidR="0086130E">
              <w:rPr>
                <w:b/>
                <w:spacing w:val="-2"/>
              </w:rPr>
              <w:t>Five</w:t>
            </w:r>
            <w:r w:rsidR="0086130E" w:rsidRPr="007A0DEF">
              <w:rPr>
                <w:b/>
                <w:spacing w:val="-2"/>
              </w:rPr>
              <w:t xml:space="preserve"> Hun</w:t>
            </w:r>
            <w:r w:rsidR="0086130E">
              <w:rPr>
                <w:b/>
                <w:spacing w:val="-2"/>
              </w:rPr>
              <w:t>dred Forty Thousand Eighty Six Pesos and Sixty Centavos</w:t>
            </w:r>
            <w:r w:rsidR="007A0DEF" w:rsidRPr="007A0DEF">
              <w:rPr>
                <w:b/>
                <w:spacing w:val="-2"/>
              </w:rPr>
              <w:t xml:space="preserve"> (</w:t>
            </w:r>
            <w:r w:rsidR="0086130E">
              <w:rPr>
                <w:b/>
                <w:spacing w:val="-2"/>
              </w:rPr>
              <w:t>Php2,540,086.6</w:t>
            </w:r>
            <w:r w:rsidR="0086130E" w:rsidRPr="007A0DEF">
              <w:rPr>
                <w:b/>
                <w:spacing w:val="-2"/>
              </w:rPr>
              <w:t>0</w:t>
            </w:r>
            <w:r w:rsidR="007A0DEF" w:rsidRPr="007A0DEF">
              <w:rPr>
                <w:b/>
                <w:spacing w:val="-2"/>
              </w:rPr>
              <w:t>)</w:t>
            </w:r>
            <w:r w:rsidR="000B5097">
              <w:rPr>
                <w:b/>
                <w:spacing w:val="-2"/>
              </w:rPr>
              <w:t xml:space="preserve">. </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6024DE">
            <w:pPr>
              <w:spacing w:after="240"/>
            </w:pPr>
            <w:r w:rsidRPr="004D4FA4">
              <w:t xml:space="preserve">Bids will be valid until </w:t>
            </w:r>
            <w:r w:rsidR="006024DE">
              <w:t>August 17</w:t>
            </w:r>
            <w:r w:rsidRPr="004D4FA4">
              <w:t>, 20</w:t>
            </w:r>
            <w:r w:rsidR="006024DE">
              <w:t>21</w:t>
            </w:r>
            <w:r w:rsidRPr="004D4FA4">
              <w:t>.</w:t>
            </w:r>
          </w:p>
        </w:tc>
      </w:tr>
      <w:bookmarkStart w:id="2102" w:name="bds18_1"/>
      <w:bookmarkEnd w:id="2102"/>
      <w:tr w:rsidR="00FD10EA" w:rsidRPr="004D4FA4" w:rsidTr="00B55325">
        <w:trPr>
          <w:jc w:val="center"/>
        </w:trPr>
        <w:tc>
          <w:tcPr>
            <w:tcW w:w="1505" w:type="dxa"/>
          </w:tcPr>
          <w:p w:rsidR="00FD10EA" w:rsidRPr="004D4FA4" w:rsidRDefault="00082223" w:rsidP="00153E59">
            <w:r w:rsidRPr="004D4FA4">
              <w:fldChar w:fldCharType="begin"/>
            </w:r>
            <w:r w:rsidR="00FD10EA" w:rsidRPr="004D4FA4">
              <w:instrText xml:space="preserve"> REF _Ref239524170 \r \h  \* MERGEFORMAT </w:instrText>
            </w:r>
            <w:r w:rsidRPr="004D4FA4">
              <w:fldChar w:fldCharType="separate"/>
            </w:r>
            <w:r w:rsidR="005330BA">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F06D3A" w:rsidP="004458B3">
            <w:pPr>
              <w:numPr>
                <w:ilvl w:val="0"/>
                <w:numId w:val="3"/>
              </w:numPr>
              <w:spacing w:line="240" w:lineRule="auto"/>
              <w:rPr>
                <w:szCs w:val="24"/>
              </w:rPr>
            </w:pPr>
            <w:r w:rsidRPr="004D4FA4">
              <w:rPr>
                <w:szCs w:val="24"/>
              </w:rPr>
              <w:t xml:space="preserve">The amount of </w:t>
            </w:r>
            <w:r w:rsidR="00BF2B1E">
              <w:rPr>
                <w:szCs w:val="24"/>
              </w:rPr>
              <w:t>Fifty</w:t>
            </w:r>
            <w:r w:rsidR="000F1F5E" w:rsidRPr="00410533">
              <w:rPr>
                <w:szCs w:val="24"/>
              </w:rPr>
              <w:t xml:space="preserve"> Thousand </w:t>
            </w:r>
            <w:r w:rsidR="00BF2B1E">
              <w:rPr>
                <w:szCs w:val="24"/>
              </w:rPr>
              <w:t>Eight Hundred One</w:t>
            </w:r>
            <w:r w:rsidR="0011025D">
              <w:rPr>
                <w:szCs w:val="24"/>
              </w:rPr>
              <w:t xml:space="preserve"> </w:t>
            </w:r>
            <w:r w:rsidR="00D46756">
              <w:rPr>
                <w:szCs w:val="24"/>
              </w:rPr>
              <w:t>Pesos</w:t>
            </w:r>
            <w:r w:rsidR="00BF2B1E">
              <w:rPr>
                <w:szCs w:val="24"/>
              </w:rPr>
              <w:t xml:space="preserve"> and Thirty Two</w:t>
            </w:r>
            <w:r w:rsidR="000D4932">
              <w:rPr>
                <w:szCs w:val="24"/>
              </w:rPr>
              <w:t xml:space="preserve"> Centavos</w:t>
            </w:r>
            <w:r w:rsidR="00A55B2F">
              <w:rPr>
                <w:szCs w:val="24"/>
              </w:rPr>
              <w:t xml:space="preserve"> </w:t>
            </w:r>
            <w:r w:rsidR="000B5097">
              <w:rPr>
                <w:szCs w:val="24"/>
              </w:rPr>
              <w:t>(Ph</w:t>
            </w:r>
            <w:r w:rsidR="007A0DEF">
              <w:rPr>
                <w:szCs w:val="24"/>
              </w:rPr>
              <w:t>p</w:t>
            </w:r>
            <w:r w:rsidR="00BF2B1E">
              <w:rPr>
                <w:szCs w:val="24"/>
              </w:rPr>
              <w:t>50,801</w:t>
            </w:r>
            <w:r w:rsidR="00A55B2F">
              <w:rPr>
                <w:szCs w:val="24"/>
              </w:rPr>
              <w:t>.</w:t>
            </w:r>
            <w:r w:rsidR="00BF2B1E">
              <w:rPr>
                <w:szCs w:val="24"/>
              </w:rPr>
              <w:t>32</w:t>
            </w:r>
            <w:r w:rsidR="00380729">
              <w:rPr>
                <w:szCs w:val="24"/>
              </w:rPr>
              <w:t>)</w:t>
            </w:r>
            <w:r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97515F">
              <w:rPr>
                <w:szCs w:val="24"/>
              </w:rPr>
              <w:t>One</w:t>
            </w:r>
            <w:r w:rsidR="001C33AB">
              <w:rPr>
                <w:szCs w:val="24"/>
              </w:rPr>
              <w:t xml:space="preserve"> Hundred </w:t>
            </w:r>
            <w:r w:rsidR="00BF2B1E">
              <w:rPr>
                <w:szCs w:val="24"/>
              </w:rPr>
              <w:t>Twenty Seven</w:t>
            </w:r>
            <w:r w:rsidR="000D4932">
              <w:rPr>
                <w:szCs w:val="24"/>
              </w:rPr>
              <w:t xml:space="preserve"> Thousand </w:t>
            </w:r>
            <w:r w:rsidR="00BF2B1E">
              <w:rPr>
                <w:szCs w:val="24"/>
              </w:rPr>
              <w:t>Four</w:t>
            </w:r>
            <w:r w:rsidR="00943CC5">
              <w:rPr>
                <w:szCs w:val="24"/>
              </w:rPr>
              <w:t xml:space="preserve"> </w:t>
            </w:r>
            <w:r w:rsidR="00D46756">
              <w:rPr>
                <w:szCs w:val="24"/>
              </w:rPr>
              <w:t>Pesos</w:t>
            </w:r>
            <w:r w:rsidR="00BF2B1E">
              <w:rPr>
                <w:szCs w:val="24"/>
              </w:rPr>
              <w:t xml:space="preserve"> and Thirty Three Centavos</w:t>
            </w:r>
            <w:r w:rsidR="000D4932">
              <w:rPr>
                <w:szCs w:val="24"/>
              </w:rPr>
              <w:t xml:space="preserve"> </w:t>
            </w:r>
            <w:r w:rsidR="00337216">
              <w:rPr>
                <w:szCs w:val="24"/>
              </w:rPr>
              <w:t>(Php</w:t>
            </w:r>
            <w:r w:rsidR="007A0DEF">
              <w:rPr>
                <w:szCs w:val="24"/>
              </w:rPr>
              <w:t>1</w:t>
            </w:r>
            <w:r w:rsidR="00BF2B1E">
              <w:rPr>
                <w:szCs w:val="24"/>
              </w:rPr>
              <w:t>27</w:t>
            </w:r>
            <w:r w:rsidR="009C6DE8">
              <w:rPr>
                <w:szCs w:val="24"/>
              </w:rPr>
              <w:t>,</w:t>
            </w:r>
            <w:r w:rsidR="00BF2B1E">
              <w:rPr>
                <w:szCs w:val="24"/>
              </w:rPr>
              <w:t>004.33</w:t>
            </w:r>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1F4E80" w:rsidRPr="004D4FA4" w:rsidRDefault="00FD10EA" w:rsidP="00BF2B1E">
            <w:pPr>
              <w:spacing w:after="240"/>
              <w:jc w:val="left"/>
              <w:rPr>
                <w:i/>
              </w:rPr>
            </w:pPr>
            <w:r w:rsidRPr="004D4FA4">
              <w:t>The bid security shall be valid until</w:t>
            </w:r>
            <w:r w:rsidR="00E551DA">
              <w:rPr>
                <w:i/>
              </w:rPr>
              <w:t xml:space="preserve"> </w:t>
            </w:r>
            <w:r w:rsidR="00BF2B1E">
              <w:t>August 17</w:t>
            </w:r>
            <w:r w:rsidR="000F1F5E" w:rsidRPr="004D4FA4">
              <w:t>, 20</w:t>
            </w:r>
            <w:r w:rsidR="00BF2B1E">
              <w:t>21</w:t>
            </w:r>
            <w:r w:rsidR="000F1F5E" w:rsidRPr="004D4FA4">
              <w:t>.</w:t>
            </w:r>
            <w:r w:rsidR="00057F61">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t>20.3</w:t>
            </w:r>
          </w:p>
        </w:tc>
        <w:tc>
          <w:tcPr>
            <w:tcW w:w="7294" w:type="dxa"/>
          </w:tcPr>
          <w:p w:rsidR="001C33AB"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14" w:name="bds21"/>
            <w:bookmarkEnd w:id="2114"/>
            <w:r>
              <w:t>21</w:t>
            </w:r>
          </w:p>
        </w:tc>
        <w:tc>
          <w:tcPr>
            <w:tcW w:w="7294" w:type="dxa"/>
          </w:tcPr>
          <w:p w:rsidR="00FD10EA" w:rsidRPr="004D4FA4" w:rsidRDefault="00FD10EA" w:rsidP="00153E59">
            <w:pPr>
              <w:spacing w:after="240"/>
            </w:pPr>
            <w:r w:rsidRPr="004D4FA4">
              <w:t xml:space="preserve">The address for submission of bids is BAC SECRETARIAT, City </w:t>
            </w:r>
            <w:r w:rsidRPr="004D4FA4">
              <w:lastRenderedPageBreak/>
              <w:t>General Services Office, 4</w:t>
            </w:r>
            <w:r w:rsidRPr="004D4FA4">
              <w:rPr>
                <w:vertAlign w:val="superscript"/>
              </w:rPr>
              <w:t>th</w:t>
            </w:r>
            <w:r w:rsidRPr="004D4FA4">
              <w:t xml:space="preserve"> Floor, City Hall, Carig Tuguegarao City</w:t>
            </w:r>
            <w:r w:rsidRPr="004D4FA4">
              <w:rPr>
                <w:i/>
              </w:rPr>
              <w:t>.</w:t>
            </w:r>
          </w:p>
          <w:p w:rsidR="0097515F" w:rsidRPr="000F1F5E" w:rsidRDefault="00FD10EA" w:rsidP="00CC514B">
            <w:pPr>
              <w:spacing w:after="240"/>
              <w:rPr>
                <w:sz w:val="23"/>
                <w:szCs w:val="23"/>
              </w:rPr>
            </w:pPr>
            <w:r w:rsidRPr="000F1F5E">
              <w:rPr>
                <w:sz w:val="23"/>
                <w:szCs w:val="23"/>
              </w:rPr>
              <w:t>The deadli</w:t>
            </w:r>
            <w:r w:rsidR="00737B60" w:rsidRPr="000F1F5E">
              <w:rPr>
                <w:sz w:val="23"/>
                <w:szCs w:val="23"/>
              </w:rPr>
              <w:t xml:space="preserve">ne for submission of bids is on </w:t>
            </w:r>
            <w:r w:rsidR="00CC514B">
              <w:rPr>
                <w:spacing w:val="-2"/>
                <w:sz w:val="23"/>
                <w:szCs w:val="23"/>
              </w:rPr>
              <w:t>April 20</w:t>
            </w:r>
            <w:r w:rsidR="001C33AB">
              <w:rPr>
                <w:spacing w:val="-2"/>
                <w:sz w:val="23"/>
                <w:szCs w:val="23"/>
              </w:rPr>
              <w:t>,</w:t>
            </w:r>
            <w:r w:rsidR="00CC514B">
              <w:rPr>
                <w:spacing w:val="-2"/>
                <w:sz w:val="23"/>
                <w:szCs w:val="23"/>
              </w:rPr>
              <w:t xml:space="preserve"> 2021</w:t>
            </w:r>
            <w:r w:rsidR="005964FE" w:rsidRPr="000F1F5E">
              <w:rPr>
                <w:spacing w:val="-2"/>
                <w:sz w:val="23"/>
                <w:szCs w:val="23"/>
              </w:rPr>
              <w:t xml:space="preserve"> </w:t>
            </w:r>
            <w:r w:rsidR="00122D02" w:rsidRPr="000F1F5E">
              <w:rPr>
                <w:sz w:val="23"/>
                <w:szCs w:val="23"/>
              </w:rPr>
              <w:t xml:space="preserve">at </w:t>
            </w:r>
            <w:r w:rsidR="00B17087" w:rsidRPr="000F1F5E">
              <w:rPr>
                <w:sz w:val="23"/>
                <w:szCs w:val="23"/>
              </w:rPr>
              <w:t>9</w:t>
            </w:r>
            <w:r w:rsidR="00604498" w:rsidRPr="000F1F5E">
              <w:rPr>
                <w:sz w:val="23"/>
                <w:szCs w:val="23"/>
              </w:rPr>
              <w:t>:00 A</w:t>
            </w:r>
            <w:r w:rsidRPr="000F1F5E">
              <w:rPr>
                <w:sz w:val="23"/>
                <w:szCs w:val="23"/>
              </w:rPr>
              <w:t>.M.</w:t>
            </w:r>
          </w:p>
        </w:tc>
      </w:tr>
      <w:tr w:rsidR="00FD10EA" w:rsidRPr="004D4FA4" w:rsidTr="00B55325">
        <w:trPr>
          <w:jc w:val="center"/>
        </w:trPr>
        <w:tc>
          <w:tcPr>
            <w:tcW w:w="1505" w:type="dxa"/>
          </w:tcPr>
          <w:p w:rsidR="00FD10EA" w:rsidRPr="004D4FA4" w:rsidRDefault="0045499D" w:rsidP="00153E59">
            <w:bookmarkStart w:id="2115" w:name="bds24_1"/>
            <w:bookmarkEnd w:id="2115"/>
            <w:r>
              <w:lastRenderedPageBreak/>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 City Hall, Carig, Tuguegarao City</w:t>
            </w:r>
            <w:r w:rsidRPr="004D4FA4">
              <w:rPr>
                <w:i/>
              </w:rPr>
              <w:t>.</w:t>
            </w:r>
          </w:p>
          <w:p w:rsidR="00FD10EA" w:rsidRPr="004D4FA4" w:rsidRDefault="00FD10EA" w:rsidP="00CC514B">
            <w:pPr>
              <w:spacing w:after="240"/>
              <w:rPr>
                <w:i/>
              </w:rPr>
            </w:pPr>
            <w:r w:rsidRPr="004D4FA4">
              <w:t>The date and time of bid opening is</w:t>
            </w:r>
            <w:r w:rsidRPr="004D4FA4">
              <w:rPr>
                <w:i/>
              </w:rPr>
              <w:t xml:space="preserve"> </w:t>
            </w:r>
            <w:r w:rsidRPr="004D4FA4">
              <w:t>on</w:t>
            </w:r>
            <w:r w:rsidR="001C33AB">
              <w:t xml:space="preserve"> </w:t>
            </w:r>
            <w:r w:rsidR="00CC514B">
              <w:rPr>
                <w:spacing w:val="-2"/>
              </w:rPr>
              <w:t>April 20</w:t>
            </w:r>
            <w:r w:rsidR="00A257A0">
              <w:rPr>
                <w:spacing w:val="-2"/>
              </w:rPr>
              <w:t>, 202</w:t>
            </w:r>
            <w:r w:rsidR="00CC514B">
              <w:rPr>
                <w:spacing w:val="-2"/>
              </w:rPr>
              <w:t>1</w:t>
            </w:r>
            <w:r w:rsidR="00D31931" w:rsidRPr="004D4FA4">
              <w:t xml:space="preserve"> </w:t>
            </w:r>
            <w:r w:rsidR="00B17087">
              <w:t>at 10</w:t>
            </w:r>
            <w:r w:rsidR="00604498">
              <w:t>:00 A</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7"/>
          <w:headerReference w:type="default" r:id="rId28"/>
          <w:footerReference w:type="default" r:id="rId29"/>
          <w:headerReference w:type="first" r:id="rId30"/>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082223"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sidRPr="00082223">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sidRPr="00082223">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1"/>
          <w:headerReference w:type="default" r:id="rId32"/>
          <w:footerReference w:type="default" r:id="rId33"/>
          <w:headerReference w:type="first" r:id="rId34"/>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082223"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082223"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082223"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082223"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082223"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082223"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082223"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082223"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082223"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082223"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082223"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082223"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082223"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082223"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082223"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082223"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082223"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082223"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082223"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082223"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082223"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082223"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082223"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082223"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082223"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082223"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082223"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082223"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082223"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082223"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082223"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082223"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082223"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082223"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082223"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082223"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082223"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082223"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082223"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082223"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082223"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082223"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082223"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082223"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082223"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082223"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082223"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082223"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082223"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082223"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082223"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fldSimple w:instr=" REF _Ref100546987 \r \h  \* MERGEFORMAT ">
        <w:r w:rsidR="005330BA">
          <w:t>21</w:t>
        </w:r>
      </w:fldSimple>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fldSimple w:instr=" REF _Ref100547593 \r \h  \* MERGEFORMAT ">
        <w:r w:rsidR="005330BA">
          <w:t>49</w:t>
        </w:r>
      </w:fldSimple>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Effectivity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r w:rsidRPr="00286A7C">
        <w:rPr>
          <w:b/>
        </w:rPr>
        <w:t>Dayworks</w:t>
      </w:r>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r w:rsidRPr="00286A7C">
        <w:rPr>
          <w:b/>
        </w:rPr>
        <w:t>Specifications</w:t>
      </w:r>
      <w:r w:rsidRPr="00286A7C">
        <w:t xml:space="preserve"> means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fldSimple w:instr=" REF _Ref101250509 \r \h  \* MERGEFORMAT ">
        <w:r w:rsidR="005330BA">
          <w:t>5.1</w:t>
        </w:r>
      </w:fldSimple>
      <w:r w:rsidRPr="004D4FA4">
        <w:t xml:space="preserve">, the Procuring Entity will be deemed to have delayed the start of the relevant activities.  The resulting adjustments in contact time to address such delay shall be in accordance with GCC Clause </w:t>
      </w:r>
      <w:fldSimple w:instr=" REF _Ref102186600 \r \h  \* MERGEFORMAT ">
        <w:r w:rsidR="005330BA">
          <w:t>47</w:t>
        </w:r>
      </w:fldSimple>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r w:rsidR="00852FD5">
        <w:rPr>
          <w:snapToGrid w:val="0"/>
        </w:rPr>
        <w:t>HoPE</w:t>
      </w:r>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in case the Contractor fails to comply with the preceding paragraph, the Procuring Entity shall forfeit its performance security, subject its property(ies)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r w:rsidRPr="004D4FA4">
        <w:rPr>
          <w:rFonts w:cs="Tahoma"/>
          <w:i/>
          <w:szCs w:val="22"/>
        </w:rPr>
        <w:t>i.e.</w:t>
      </w:r>
      <w:r w:rsidRPr="004D4FA4">
        <w:rPr>
          <w:rFonts w:cs="Tahoma"/>
          <w:szCs w:val="22"/>
        </w:rPr>
        <w:t>,where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fldSimple w:instr=" REF _Ref242758617 \r \h  \* MERGEFORMAT ">
        <w:r w:rsidR="005330BA" w:rsidRPr="005330BA">
          <w:rPr>
            <w:snapToGrid w:val="0"/>
          </w:rPr>
          <w:t>12.5</w:t>
        </w:r>
      </w:fldSimple>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any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r w:rsidR="007A3D06" w:rsidRPr="004D4FA4">
        <w:t>negligence,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The Contractor shall provide evidence to the Procuring Entity’s Representative that the insurances required under this Contract have been effected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fldSimple w:instr=" REF _Ref102292371 \r \h  \* MERGEFORMAT ">
        <w:r w:rsidR="005330BA">
          <w:t>40</w:t>
        </w:r>
      </w:fldSimple>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r w:rsidRPr="004D4FA4">
        <w:t>sub-lets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r w:rsidR="00506D1A">
        <w:t>HoPE</w:t>
      </w:r>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fldSimple w:instr=" REF _Ref100559695 \r \h  \* MERGEFORMAT ">
        <w:r w:rsidR="005330BA">
          <w:t>9</w:t>
        </w:r>
      </w:fldSimple>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r w:rsidRPr="004D4FA4">
        <w:t>any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fldSimple w:instr=" REF _Ref36363281 \r \h  \* MERGEFORMAT ">
        <w:r w:rsidR="005330BA">
          <w:t>18.3</w:t>
        </w:r>
      </w:fldSimple>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r w:rsidR="00506D1A">
        <w:t>HoPE</w:t>
      </w:r>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r w:rsidRPr="004D4FA4">
        <w:t>special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r w:rsidR="00506D1A">
        <w:t>HoPE</w:t>
      </w:r>
      <w:r w:rsidRPr="004D4FA4">
        <w:t xml:space="preserve"> a verified position paper stating why the contract should not be terminated.  If the Contractor fails to show cause after the lapse of the seven (7) day period, either by inaction or by default, the </w:t>
      </w:r>
      <w:r w:rsidR="00506D1A">
        <w:t>HoPE</w:t>
      </w:r>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r w:rsidR="00506D1A">
        <w:t>HoPE</w:t>
      </w:r>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r w:rsidR="00506D1A">
        <w:t>HoPE</w:t>
      </w:r>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Renewal of the effectivity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Force Majeure, Release From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fldSimple w:instr=" REF _Ref242252826 \r \h  \* MERGEFORMAT ">
        <w:r w:rsidR="005330BA">
          <w:t>28</w:t>
        </w:r>
      </w:fldSimple>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r w:rsidRPr="004D4FA4">
        <w:t>any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r w:rsidR="00506D1A" w:rsidRPr="004D4FA4">
        <w:t>That,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fldSimple w:instr=" REF _Ref102292916 \r \h  \* MERGEFORMAT ">
        <w:r w:rsidR="005330BA">
          <w:t>45.2</w:t>
        </w:r>
      </w:fldSimple>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The Procuring Entity’s Representative may delegate any of his duties and responsibilities to other people,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r w:rsidRPr="004D4FA4">
        <w:t xml:space="preserve">in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r w:rsidR="00506D1A">
        <w:t>HoPE</w:t>
      </w:r>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fldSimple w:instr=" REF _Ref100561331 \r \h  \* MERGEFORMAT ">
        <w:r w:rsidR="005330BA">
          <w:t>13</w:t>
        </w:r>
      </w:fldSimple>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r w:rsidRPr="004D4FA4">
        <w:rPr>
          <w:b w:val="0"/>
        </w:rPr>
        <w:t>Dayworks</w:t>
      </w:r>
      <w:bookmarkEnd w:id="2876"/>
      <w:bookmarkEnd w:id="2877"/>
      <w:bookmarkEnd w:id="2878"/>
      <w:bookmarkEnd w:id="2879"/>
      <w:bookmarkEnd w:id="2880"/>
      <w:bookmarkEnd w:id="2881"/>
      <w:bookmarkEnd w:id="2882"/>
      <w:bookmarkEnd w:id="2883"/>
      <w:bookmarkEnd w:id="2884"/>
    </w:p>
    <w:p w:rsidR="00603B21" w:rsidRDefault="00E47B9C" w:rsidP="00E47B9C">
      <w:pPr>
        <w:pStyle w:val="Style1"/>
        <w:tabs>
          <w:tab w:val="num" w:pos="1440"/>
        </w:tabs>
        <w:spacing w:before="240"/>
      </w:pPr>
      <w:bookmarkStart w:id="2885" w:name="_Ref36365491"/>
      <w:r w:rsidRPr="004D4FA4">
        <w:t xml:space="preserve">Subject to GCC Clause </w:t>
      </w:r>
      <w:fldSimple w:instr=" REF _Ref102293372 \r \h  \* MERGEFORMAT ">
        <w:r w:rsidR="005330BA">
          <w:t>43</w:t>
        </w:r>
      </w:fldSimple>
      <w:r w:rsidRPr="004D4FA4">
        <w:t xml:space="preserve"> on Variation Order, and if applicable as indicated in the </w:t>
      </w:r>
      <w:hyperlink w:anchor="scc29_1" w:history="1">
        <w:r w:rsidRPr="004D4FA4">
          <w:rPr>
            <w:rStyle w:val="Hyperlink"/>
            <w:b w:val="0"/>
          </w:rPr>
          <w:t>SCC</w:t>
        </w:r>
      </w:hyperlink>
      <w:r w:rsidRPr="004D4FA4">
        <w:t xml:space="preserve">, the Dayworks rates in the Contractor’s Bid shall be used for small </w:t>
      </w:r>
    </w:p>
    <w:p w:rsidR="00E47B9C" w:rsidRPr="004D4FA4" w:rsidRDefault="00E47B9C" w:rsidP="00506D1A">
      <w:pPr>
        <w:pStyle w:val="Style1"/>
        <w:tabs>
          <w:tab w:val="num" w:pos="1440"/>
        </w:tabs>
        <w:spacing w:before="240"/>
      </w:pPr>
      <w:r w:rsidRPr="004D4FA4">
        <w:t xml:space="preserve">additional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All work to be paid for as Dayworks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The Contractor shall be paid for Dayworks subject to obtaining signed Dayworks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The Procuring Entity’s Representative shall record the business of Management Conferences and provide copies of the record to those attending the Conference and to the Procuring Entity .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The Procuring Entity’s Representative shall give notice to the Contractor of any defects before the end of the Defects Liability Period, which  is</w:t>
      </w:r>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The Procuring Entity shall give the Contractor at least fourteen (14) days notice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fldSimple w:instr=" REF _Ref102186066 \r \h  \* MERGEFORMAT ">
        <w:r w:rsidR="005330BA">
          <w:t>39.1</w:t>
        </w:r>
      </w:fldSimple>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r w:rsidR="00E47B9C" w:rsidRPr="004D4FA4">
        <w:t>be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r w:rsidR="00E47B9C" w:rsidRPr="004D4FA4">
        <w:t>comprise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r w:rsidR="00E47B9C" w:rsidRPr="004D4FA4">
        <w:t>include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fldSimple w:instr=" REF _Ref102298529 \r \h  \* MERGEFORMAT ">
        <w:r w:rsidR="005330BA">
          <w:t>42.2</w:t>
        </w:r>
      </w:fldSimple>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r w:rsidR="005C1AE0">
        <w:t>HoPE</w:t>
      </w:r>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r w:rsidR="00C839CE">
        <w:t>HoPE</w:t>
      </w:r>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The technical staff or appropriate office of the Procuring Entity shall submit a report of their findings and recommendations, together with the supporting documents, to the HoPE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HoPE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fldSimple w:instr=" REF _Ref100568070 \r \h  \* MERGEFORMAT ">
        <w:r w:rsidR="005330BA">
          <w:t>17</w:t>
        </w:r>
      </w:fldSimple>
      <w:r w:rsidRPr="004D4FA4">
        <w:t xml:space="preserve"> or </w:t>
      </w:r>
      <w:fldSimple w:instr=" REF _Ref100568075 \r \h  \* MERGEFORMAT ">
        <w:r w:rsidR="005330BA">
          <w:t>18</w:t>
        </w:r>
      </w:fldSimple>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paralyzation of construction activities, and other meritorious causes as determined by the Procuring Entity’s Represen</w:t>
      </w:r>
      <w:r w:rsidR="00C839CE">
        <w:t>tative and approved by the HoPE</w:t>
      </w:r>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5"/>
          <w:headerReference w:type="default" r:id="rId36"/>
          <w:footerReference w:type="default" r:id="rId37"/>
          <w:headerReference w:type="first" r:id="rId38"/>
          <w:pgSz w:w="11909" w:h="16834" w:code="9"/>
          <w:pgMar w:top="1440" w:right="1440" w:bottom="1440" w:left="1440" w:header="720" w:footer="720" w:gutter="0"/>
          <w:cols w:space="720"/>
          <w:docGrid w:linePitch="360"/>
        </w:sectPr>
      </w:pPr>
    </w:p>
    <w:p w:rsidR="00F309BD" w:rsidRPr="004D4FA4" w:rsidRDefault="00082223"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sidRPr="00082223">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sidRPr="00082223">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39"/>
          <w:headerReference w:type="default" r:id="rId40"/>
          <w:footerReference w:type="default" r:id="rId41"/>
          <w:headerReference w:type="first" r:id="rId42"/>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8A15C0">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8A15C0">
              <w:rPr>
                <w:szCs w:val="24"/>
              </w:rPr>
              <w:t>Ninety</w:t>
            </w:r>
            <w:r w:rsidR="00272CD4">
              <w:rPr>
                <w:szCs w:val="24"/>
              </w:rPr>
              <w:t xml:space="preserve"> </w:t>
            </w:r>
            <w:r w:rsidR="007E0DE0">
              <w:rPr>
                <w:szCs w:val="24"/>
              </w:rPr>
              <w:t>(</w:t>
            </w:r>
            <w:r w:rsidR="008A15C0">
              <w:rPr>
                <w:szCs w:val="24"/>
              </w:rPr>
              <w:t>9</w:t>
            </w:r>
            <w:r w:rsidR="00563849">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City Government of Tuguegarao, City Hall Building, Carig Sur, Tuguegarao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r w:rsidRPr="004D4FA4">
              <w:rPr>
                <w:szCs w:val="24"/>
              </w:rPr>
              <w:t>Tuguegarao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5C0FBF" w:rsidP="005C0FBF">
            <w:pPr>
              <w:spacing w:before="100" w:beforeAutospacing="1" w:after="120"/>
              <w:rPr>
                <w:spacing w:val="-2"/>
              </w:rPr>
            </w:pPr>
            <w:r w:rsidRPr="004D4FA4">
              <w:rPr>
                <w:szCs w:val="24"/>
              </w:rPr>
              <w:t xml:space="preserve">The Site is located at </w:t>
            </w:r>
            <w:r>
              <w:rPr>
                <w:szCs w:val="24"/>
              </w:rPr>
              <w:t xml:space="preserve">the following area </w:t>
            </w:r>
            <w:r w:rsidRPr="00C3152A">
              <w:rPr>
                <w:spacing w:val="-2"/>
              </w:rPr>
              <w:t>Tuguegarao City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Pr>
                <w:spacing w:val="-2"/>
              </w:rPr>
              <w:t>Construction of Masonry Drainage Structure</w:t>
            </w: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5A561B" w:rsidRDefault="005A561B" w:rsidP="009544B3">
            <w:pPr>
              <w:spacing w:before="100" w:beforeAutospacing="1" w:after="120"/>
              <w:rPr>
                <w:szCs w:val="24"/>
              </w:rPr>
            </w:pPr>
            <w:r w:rsidRPr="004D4FA4">
              <w:rPr>
                <w:szCs w:val="24"/>
              </w:rPr>
              <w:t>The Start Date is (as indicated in the Notice To Proceed)</w:t>
            </w:r>
          </w:p>
          <w:p w:rsidR="000518FD" w:rsidRPr="004D4FA4" w:rsidRDefault="000518FD"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5A561B" w:rsidP="00A05BC6">
            <w:pPr>
              <w:spacing w:before="100" w:beforeAutospacing="1" w:after="120"/>
              <w:rPr>
                <w:szCs w:val="24"/>
              </w:rPr>
            </w:pPr>
            <w:r w:rsidRPr="004D4FA4">
              <w:rPr>
                <w:szCs w:val="24"/>
              </w:rPr>
              <w:t xml:space="preserve">The Works consist of the </w:t>
            </w:r>
            <w:r w:rsidR="00415FF1">
              <w:rPr>
                <w:spacing w:val="-2"/>
              </w:rPr>
              <w:t>Co</w:t>
            </w:r>
            <w:r w:rsidR="008D262F">
              <w:rPr>
                <w:spacing w:val="-2"/>
              </w:rPr>
              <w:t>nstruction of Masonry Drainage</w:t>
            </w:r>
            <w:r w:rsidR="00A05BC6">
              <w:rPr>
                <w:spacing w:val="-2"/>
              </w:rPr>
              <w:t xml:space="preserve"> Structure</w:t>
            </w:r>
            <w:r w:rsidR="00415FF1">
              <w:rPr>
                <w:spacing w:val="-2"/>
              </w:rPr>
              <w:t xml:space="preserve"> </w:t>
            </w:r>
            <w:r w:rsidR="00A05BC6">
              <w:rPr>
                <w:spacing w:val="-2"/>
              </w:rPr>
              <w:t>Arao Street Extension</w:t>
            </w:r>
            <w:r w:rsidR="00415FF1">
              <w:rPr>
                <w:spacing w:val="-2"/>
              </w:rPr>
              <w:t xml:space="preserve">, </w:t>
            </w:r>
            <w:r w:rsidR="00A05BC6">
              <w:rPr>
                <w:spacing w:val="-2"/>
              </w:rPr>
              <w:t>Ugac</w:t>
            </w:r>
            <w:r w:rsidR="00415FF1">
              <w:rPr>
                <w:spacing w:val="-2"/>
              </w:rPr>
              <w:t xml:space="preserve"> Sur, Tuguegarao City</w:t>
            </w:r>
            <w:r w:rsidRPr="004D4FA4">
              <w:rPr>
                <w:szCs w:val="24"/>
              </w:rPr>
              <w:t>,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082223"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5330BA">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tblPrEx>
        <w:tc>
          <w:tcPr>
            <w:tcW w:w="1638" w:type="dxa"/>
            <w:gridSpan w:val="2"/>
          </w:tcPr>
          <w:p w:rsidR="005A561B" w:rsidRPr="004D4FA4" w:rsidRDefault="00082223"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5330BA">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082223"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5330BA">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082223"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5330BA">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082223"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5330BA">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082223"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5330BA">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082223"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5330BA">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496994" w:rsidP="009544B3">
            <w:pPr>
              <w:spacing w:before="100" w:beforeAutospacing="1" w:after="120"/>
              <w:rPr>
                <w:szCs w:val="24"/>
              </w:rPr>
            </w:pPr>
            <w:r w:rsidRPr="004D4FA4">
              <w:rPr>
                <w:szCs w:val="24"/>
              </w:rPr>
              <w:lastRenderedPageBreak/>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tblPrEx>
        <w:trPr>
          <w:trHeight w:val="80"/>
        </w:trPr>
        <w:tc>
          <w:tcPr>
            <w:tcW w:w="1638" w:type="dxa"/>
            <w:gridSpan w:val="2"/>
          </w:tcPr>
          <w:p w:rsidR="00496994" w:rsidRPr="004D4FA4" w:rsidRDefault="00082223" w:rsidP="009544B3">
            <w:pPr>
              <w:spacing w:before="100" w:beforeAutospacing="1" w:after="120"/>
              <w:rPr>
                <w:szCs w:val="24"/>
              </w:rPr>
            </w:pPr>
            <w:r w:rsidRPr="004D4FA4">
              <w:rPr>
                <w:szCs w:val="24"/>
              </w:rPr>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5330BA">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082223"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5330BA">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082223"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5330BA">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082223"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5330BA">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tblPrEx>
        <w:trPr>
          <w:trHeight w:val="552"/>
        </w:trPr>
        <w:tc>
          <w:tcPr>
            <w:tcW w:w="1638" w:type="dxa"/>
            <w:gridSpan w:val="2"/>
          </w:tcPr>
          <w:p w:rsidR="00AC6928" w:rsidRPr="004D4FA4" w:rsidRDefault="00082223"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5330BA">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Tuguegarao.</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082223"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5330BA">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082223"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5330BA">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3"/>
          <w:pgSz w:w="11909" w:h="16834" w:code="9"/>
          <w:pgMar w:top="1440" w:right="1440" w:bottom="1440" w:left="1440" w:header="720" w:footer="720" w:gutter="0"/>
          <w:cols w:space="720"/>
          <w:docGrid w:linePitch="360"/>
        </w:sectPr>
      </w:pPr>
    </w:p>
    <w:p w:rsidR="007010FE" w:rsidRPr="004D4FA4" w:rsidRDefault="00082223"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sidRPr="00082223">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sidRPr="00082223">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Default="00DA08A6" w:rsidP="00733B6D">
      <w:pPr>
        <w:ind w:left="-180"/>
        <w:jc w:val="center"/>
        <w:rPr>
          <w:i/>
          <w:sz w:val="26"/>
          <w:szCs w:val="24"/>
        </w:rPr>
      </w:pPr>
      <w:r w:rsidRPr="00F12448">
        <w:rPr>
          <w:b/>
          <w:i/>
          <w:sz w:val="26"/>
          <w:szCs w:val="24"/>
        </w:rPr>
        <w:t>NAME OF PROJECT:</w:t>
      </w:r>
      <w:r w:rsidRPr="00F12448">
        <w:rPr>
          <w:i/>
          <w:sz w:val="26"/>
          <w:szCs w:val="24"/>
        </w:rPr>
        <w:t xml:space="preserve"> </w:t>
      </w:r>
      <w:r w:rsidR="00A75C93">
        <w:rPr>
          <w:b/>
          <w:i/>
          <w:sz w:val="26"/>
          <w:szCs w:val="24"/>
        </w:rPr>
        <w:t>CONSTRUCTION OF MASONRY DRAINAGE</w:t>
      </w:r>
    </w:p>
    <w:p w:rsidR="00DA08A6" w:rsidRPr="007546BB" w:rsidRDefault="00DA08A6" w:rsidP="00DA08A6">
      <w:pPr>
        <w:ind w:left="-180"/>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F9443D">
        <w:rPr>
          <w:b/>
          <w:i/>
          <w:sz w:val="26"/>
          <w:szCs w:val="24"/>
        </w:rPr>
        <w:t>Arao St. Extension</w:t>
      </w:r>
      <w:r w:rsidR="00A75C93">
        <w:rPr>
          <w:b/>
          <w:i/>
          <w:sz w:val="26"/>
          <w:szCs w:val="24"/>
        </w:rPr>
        <w:t xml:space="preserve">, </w:t>
      </w:r>
      <w:r w:rsidR="00F9443D">
        <w:rPr>
          <w:b/>
          <w:i/>
          <w:sz w:val="26"/>
          <w:szCs w:val="24"/>
        </w:rPr>
        <w:t>Ugac</w:t>
      </w:r>
      <w:r w:rsidR="00A75C93">
        <w:rPr>
          <w:b/>
          <w:i/>
          <w:sz w:val="26"/>
          <w:szCs w:val="24"/>
        </w:rPr>
        <w:t xml:space="preserve"> Sur</w:t>
      </w:r>
      <w:r w:rsidR="00BD133F" w:rsidRPr="00743D42">
        <w:rPr>
          <w:b/>
          <w:i/>
          <w:sz w:val="26"/>
          <w:szCs w:val="24"/>
        </w:rPr>
        <w:t>,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4"/>
          <w:footnotePr>
            <w:numRestart w:val="eachPage"/>
          </w:footnotePr>
          <w:pgSz w:w="11909" w:h="16834" w:code="9"/>
          <w:pgMar w:top="1440" w:right="1440" w:bottom="1440" w:left="1440" w:header="720" w:footer="720" w:gutter="0"/>
          <w:cols w:space="720"/>
          <w:docGrid w:linePitch="360"/>
        </w:sectPr>
      </w:pPr>
    </w:p>
    <w:p w:rsidR="00F309BD" w:rsidRPr="00941EB7" w:rsidRDefault="00082223"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sidRPr="00082223">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sidRPr="00082223">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3B0263" w:rsidRDefault="00337506" w:rsidP="00941EB7">
      <w:pPr>
        <w:rPr>
          <w:sz w:val="32"/>
          <w:szCs w:val="32"/>
        </w:rPr>
      </w:pPr>
      <w:r>
        <w:rPr>
          <w:sz w:val="32"/>
          <w:szCs w:val="32"/>
        </w:rPr>
        <w:t xml:space="preserve">  </w:t>
      </w:r>
    </w:p>
    <w:p w:rsidR="003B0263" w:rsidRDefault="003B0263">
      <w:pPr>
        <w:overflowPunct/>
        <w:autoSpaceDE/>
        <w:autoSpaceDN/>
        <w:adjustRightInd/>
        <w:spacing w:after="200" w:line="276" w:lineRule="auto"/>
        <w:jc w:val="left"/>
        <w:textAlignment w:val="auto"/>
        <w:rPr>
          <w:sz w:val="32"/>
          <w:szCs w:val="32"/>
        </w:rPr>
      </w:pPr>
      <w:r>
        <w:rPr>
          <w:sz w:val="32"/>
          <w:szCs w:val="32"/>
        </w:rPr>
        <w:br w:type="page"/>
      </w:r>
    </w:p>
    <w:p w:rsidR="003B0263" w:rsidRDefault="003B0263" w:rsidP="003B0263">
      <w:pPr>
        <w:jc w:val="center"/>
        <w:rPr>
          <w:b/>
          <w:noProof/>
          <w:lang w:val="en-PH" w:eastAsia="en-PH"/>
        </w:rPr>
      </w:pPr>
    </w:p>
    <w:p w:rsidR="003B0263" w:rsidRDefault="003B0263" w:rsidP="003B0263">
      <w:pPr>
        <w:jc w:val="center"/>
        <w:rPr>
          <w:b/>
          <w:noProof/>
          <w:lang w:val="en-PH" w:eastAsia="en-PH"/>
        </w:rPr>
      </w:pPr>
    </w:p>
    <w:p w:rsidR="003B0263" w:rsidRDefault="003B0263" w:rsidP="003B0263">
      <w:pPr>
        <w:jc w:val="center"/>
        <w:rPr>
          <w:b/>
          <w:noProof/>
          <w:lang w:val="en-PH" w:eastAsia="en-PH"/>
        </w:rPr>
      </w:pPr>
    </w:p>
    <w:p w:rsidR="003B0263" w:rsidRDefault="003B0263" w:rsidP="003B0263">
      <w:pPr>
        <w:jc w:val="center"/>
        <w:rPr>
          <w:b/>
          <w:noProof/>
          <w:lang w:val="en-PH" w:eastAsia="en-PH"/>
        </w:rPr>
      </w:pPr>
    </w:p>
    <w:p w:rsidR="003B0263" w:rsidRDefault="003B0263" w:rsidP="003B0263">
      <w:pPr>
        <w:jc w:val="center"/>
        <w:rPr>
          <w:b/>
          <w:noProof/>
          <w:lang w:val="en-PH" w:eastAsia="en-PH"/>
        </w:rPr>
      </w:pPr>
    </w:p>
    <w:p w:rsidR="003B0263" w:rsidRDefault="003B0263" w:rsidP="003B0263">
      <w:pPr>
        <w:jc w:val="center"/>
        <w:rPr>
          <w:b/>
          <w:noProof/>
          <w:lang w:val="en-PH" w:eastAsia="en-PH"/>
        </w:rPr>
      </w:pPr>
    </w:p>
    <w:p w:rsidR="003B0263" w:rsidRDefault="003B0263" w:rsidP="003B0263">
      <w:pPr>
        <w:jc w:val="center"/>
        <w:rPr>
          <w:b/>
          <w:noProof/>
          <w:lang w:val="en-PH" w:eastAsia="en-PH"/>
        </w:rPr>
      </w:pPr>
    </w:p>
    <w:p w:rsidR="00941EB7" w:rsidRPr="00941EB7" w:rsidRDefault="003B0263" w:rsidP="003B0263">
      <w:pPr>
        <w:jc w:val="center"/>
        <w:rPr>
          <w:sz w:val="32"/>
          <w:szCs w:val="32"/>
        </w:rPr>
      </w:pPr>
      <w:r>
        <w:rPr>
          <w:b/>
          <w:noProof/>
          <w:lang w:val="en-PH" w:eastAsia="en-PH"/>
        </w:rPr>
        <w:t>“PLEASE SEE INFRASTRUCTURE UNIT”</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3B0263" w:rsidRDefault="003B0263" w:rsidP="00FC344A"/>
    <w:p w:rsidR="003B0263" w:rsidRDefault="003B0263">
      <w:pPr>
        <w:overflowPunct/>
        <w:autoSpaceDE/>
        <w:autoSpaceDN/>
        <w:adjustRightInd/>
        <w:spacing w:after="200" w:line="276" w:lineRule="auto"/>
        <w:jc w:val="left"/>
        <w:textAlignment w:val="auto"/>
      </w:pPr>
      <w:r>
        <w:br w:type="page"/>
      </w:r>
    </w:p>
    <w:p w:rsidR="00FC344A" w:rsidRPr="00FC344A" w:rsidRDefault="00FC344A" w:rsidP="00FC344A"/>
    <w:p w:rsidR="00FC344A" w:rsidRPr="00FC344A" w:rsidRDefault="00FC344A" w:rsidP="00FC344A"/>
    <w:p w:rsidR="00FC344A" w:rsidRPr="00FC344A" w:rsidRDefault="00FC344A" w:rsidP="00FC344A"/>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082223" w:rsidP="00F309BD">
      <w:r w:rsidRPr="00082223">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sidRPr="00082223">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5"/>
          <w:headerReference w:type="default" r:id="rId46"/>
          <w:footerReference w:type="default" r:id="rId47"/>
          <w:headerReference w:type="first" r:id="rId48"/>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4D2872" w:rsidRDefault="00A75C93" w:rsidP="004D2872">
      <w:pPr>
        <w:ind w:left="-180"/>
        <w:jc w:val="center"/>
        <w:rPr>
          <w:b/>
          <w:i/>
          <w:sz w:val="26"/>
          <w:szCs w:val="24"/>
        </w:rPr>
      </w:pPr>
      <w:r>
        <w:rPr>
          <w:b/>
          <w:i/>
          <w:sz w:val="26"/>
          <w:szCs w:val="24"/>
        </w:rPr>
        <w:t>CONSTRUCTION OF MASONRY DRAINAGE</w:t>
      </w:r>
      <w:r w:rsidR="0001310E">
        <w:rPr>
          <w:b/>
          <w:i/>
          <w:sz w:val="26"/>
          <w:szCs w:val="24"/>
        </w:rPr>
        <w:t xml:space="preserve"> STRUCTURE</w:t>
      </w:r>
    </w:p>
    <w:p w:rsidR="004524D7" w:rsidRPr="004D2872" w:rsidRDefault="004524D7" w:rsidP="004D2872">
      <w:pPr>
        <w:ind w:left="-180"/>
        <w:jc w:val="center"/>
        <w:rPr>
          <w:b/>
          <w:i/>
          <w:sz w:val="26"/>
          <w:szCs w:val="24"/>
        </w:rPr>
      </w:pPr>
    </w:p>
    <w:p w:rsidR="00726D85" w:rsidRPr="00C11303" w:rsidRDefault="0001310E" w:rsidP="00726D85">
      <w:pPr>
        <w:jc w:val="center"/>
        <w:rPr>
          <w:b/>
          <w:szCs w:val="24"/>
        </w:rPr>
      </w:pPr>
      <w:r>
        <w:rPr>
          <w:b/>
          <w:szCs w:val="24"/>
        </w:rPr>
        <w:t>Arao St. Extension</w:t>
      </w:r>
      <w:r w:rsidR="000D7AF3">
        <w:rPr>
          <w:b/>
          <w:szCs w:val="24"/>
        </w:rPr>
        <w:t>,</w:t>
      </w:r>
      <w:r w:rsidR="00A75C93">
        <w:rPr>
          <w:b/>
          <w:szCs w:val="24"/>
        </w:rPr>
        <w:t xml:space="preserve"> </w:t>
      </w:r>
      <w:r>
        <w:rPr>
          <w:b/>
          <w:szCs w:val="24"/>
        </w:rPr>
        <w:t>Ugac</w:t>
      </w:r>
      <w:r w:rsidR="00A75C93">
        <w:rPr>
          <w:b/>
          <w:szCs w:val="24"/>
        </w:rPr>
        <w:t xml:space="preserve"> Sur,</w:t>
      </w:r>
      <w:r w:rsidR="00726D85">
        <w:rPr>
          <w:b/>
          <w:szCs w:val="24"/>
        </w:rPr>
        <w:t xml:space="preserve"> </w:t>
      </w:r>
      <w:r w:rsidR="00726D85" w:rsidRPr="00C11303">
        <w:rPr>
          <w:b/>
          <w:szCs w:val="24"/>
        </w:rPr>
        <w:t>Tuguegarao City</w:t>
      </w:r>
    </w:p>
    <w:p w:rsidR="00726D85" w:rsidRPr="00941EB7" w:rsidRDefault="00726D85" w:rsidP="00726D85">
      <w:pPr>
        <w:jc w:val="center"/>
      </w:pPr>
      <w:r>
        <w:t xml:space="preserve">  </w:t>
      </w: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254"/>
        <w:gridCol w:w="4677"/>
        <w:gridCol w:w="1276"/>
        <w:gridCol w:w="1134"/>
        <w:gridCol w:w="1451"/>
      </w:tblGrid>
      <w:tr w:rsidR="00726D85" w:rsidRPr="003609CA" w:rsidTr="009C673F">
        <w:trPr>
          <w:jc w:val="center"/>
        </w:trPr>
        <w:tc>
          <w:tcPr>
            <w:tcW w:w="1254" w:type="dxa"/>
            <w:vAlign w:val="center"/>
          </w:tcPr>
          <w:p w:rsidR="00726D85" w:rsidRPr="00CD5CF9" w:rsidRDefault="00726D85" w:rsidP="002F4038">
            <w:pPr>
              <w:jc w:val="center"/>
              <w:rPr>
                <w:szCs w:val="24"/>
              </w:rPr>
            </w:pPr>
            <w:r w:rsidRPr="00CD5CF9">
              <w:rPr>
                <w:szCs w:val="24"/>
              </w:rPr>
              <w:t>Item Number</w:t>
            </w:r>
          </w:p>
        </w:tc>
        <w:tc>
          <w:tcPr>
            <w:tcW w:w="4677" w:type="dxa"/>
            <w:vAlign w:val="center"/>
          </w:tcPr>
          <w:p w:rsidR="00726D85" w:rsidRPr="00CD5CF9" w:rsidRDefault="00726D85" w:rsidP="002F4038">
            <w:pPr>
              <w:jc w:val="center"/>
              <w:rPr>
                <w:szCs w:val="24"/>
              </w:rPr>
            </w:pPr>
            <w:r w:rsidRPr="00CD5CF9">
              <w:rPr>
                <w:szCs w:val="24"/>
              </w:rPr>
              <w:t>Description</w:t>
            </w:r>
          </w:p>
        </w:tc>
        <w:tc>
          <w:tcPr>
            <w:tcW w:w="1276" w:type="dxa"/>
            <w:vAlign w:val="center"/>
          </w:tcPr>
          <w:p w:rsidR="00726D85" w:rsidRPr="00CD5CF9" w:rsidRDefault="00726D85" w:rsidP="002F4038">
            <w:pPr>
              <w:jc w:val="center"/>
              <w:rPr>
                <w:szCs w:val="24"/>
              </w:rPr>
            </w:pPr>
            <w:r w:rsidRPr="00CD5CF9">
              <w:rPr>
                <w:szCs w:val="24"/>
              </w:rPr>
              <w:t>Size/Unit</w:t>
            </w:r>
          </w:p>
        </w:tc>
        <w:tc>
          <w:tcPr>
            <w:tcW w:w="1134"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967A03" w:rsidRPr="003609CA" w:rsidTr="009C673F">
        <w:trPr>
          <w:trHeight w:val="233"/>
          <w:jc w:val="center"/>
        </w:trPr>
        <w:tc>
          <w:tcPr>
            <w:tcW w:w="1254" w:type="dxa"/>
          </w:tcPr>
          <w:p w:rsidR="00967A03" w:rsidRPr="009C673F" w:rsidRDefault="009C673F" w:rsidP="00967A03">
            <w:pPr>
              <w:jc w:val="center"/>
              <w:rPr>
                <w:szCs w:val="24"/>
              </w:rPr>
            </w:pPr>
            <w:r w:rsidRPr="009C673F">
              <w:rPr>
                <w:szCs w:val="24"/>
              </w:rPr>
              <w:t>SPL -3</w:t>
            </w:r>
          </w:p>
        </w:tc>
        <w:tc>
          <w:tcPr>
            <w:tcW w:w="4677" w:type="dxa"/>
          </w:tcPr>
          <w:p w:rsidR="00A75C93" w:rsidRPr="009C673F" w:rsidRDefault="009C673F" w:rsidP="00A75C93">
            <w:pPr>
              <w:jc w:val="left"/>
              <w:rPr>
                <w:szCs w:val="24"/>
              </w:rPr>
            </w:pPr>
            <w:r w:rsidRPr="009C673F">
              <w:rPr>
                <w:szCs w:val="24"/>
              </w:rPr>
              <w:t>Manual Excavation</w:t>
            </w:r>
            <w:r w:rsidR="00A75C93" w:rsidRPr="009C673F">
              <w:rPr>
                <w:szCs w:val="24"/>
              </w:rPr>
              <w:t xml:space="preserve"> </w:t>
            </w:r>
          </w:p>
        </w:tc>
        <w:tc>
          <w:tcPr>
            <w:tcW w:w="1276" w:type="dxa"/>
          </w:tcPr>
          <w:p w:rsidR="00967A03" w:rsidRPr="009C673F" w:rsidRDefault="009C673F" w:rsidP="00967A03">
            <w:pPr>
              <w:jc w:val="center"/>
              <w:rPr>
                <w:szCs w:val="24"/>
              </w:rPr>
            </w:pPr>
            <w:r>
              <w:rPr>
                <w:szCs w:val="24"/>
              </w:rPr>
              <w:t>Cu.m</w:t>
            </w:r>
          </w:p>
        </w:tc>
        <w:tc>
          <w:tcPr>
            <w:tcW w:w="1134" w:type="dxa"/>
          </w:tcPr>
          <w:p w:rsidR="00967A03" w:rsidRPr="009C673F" w:rsidRDefault="009C673F" w:rsidP="00967A03">
            <w:pPr>
              <w:jc w:val="center"/>
              <w:rPr>
                <w:szCs w:val="24"/>
              </w:rPr>
            </w:pPr>
            <w:r>
              <w:rPr>
                <w:szCs w:val="24"/>
              </w:rPr>
              <w:t>450.45</w:t>
            </w:r>
          </w:p>
        </w:tc>
        <w:tc>
          <w:tcPr>
            <w:tcW w:w="1451" w:type="dxa"/>
          </w:tcPr>
          <w:p w:rsidR="00967A03" w:rsidRPr="00CD5CF9" w:rsidRDefault="00967A03" w:rsidP="00967A03">
            <w:pPr>
              <w:jc w:val="center"/>
              <w:rPr>
                <w:szCs w:val="24"/>
              </w:rPr>
            </w:pPr>
          </w:p>
        </w:tc>
      </w:tr>
      <w:tr w:rsidR="00A75C93" w:rsidRPr="003609CA" w:rsidTr="009C673F">
        <w:trPr>
          <w:trHeight w:val="70"/>
          <w:jc w:val="center"/>
        </w:trPr>
        <w:tc>
          <w:tcPr>
            <w:tcW w:w="1254" w:type="dxa"/>
          </w:tcPr>
          <w:p w:rsidR="00A75C93" w:rsidRPr="009C673F" w:rsidRDefault="009C673F" w:rsidP="00A75C93">
            <w:pPr>
              <w:jc w:val="center"/>
              <w:rPr>
                <w:szCs w:val="24"/>
              </w:rPr>
            </w:pPr>
            <w:r w:rsidRPr="009C673F">
              <w:rPr>
                <w:szCs w:val="24"/>
              </w:rPr>
              <w:t>804 (4)</w:t>
            </w:r>
          </w:p>
        </w:tc>
        <w:tc>
          <w:tcPr>
            <w:tcW w:w="4677" w:type="dxa"/>
          </w:tcPr>
          <w:p w:rsidR="00A75C93" w:rsidRPr="009C673F" w:rsidRDefault="009C673F" w:rsidP="009C673F">
            <w:pPr>
              <w:jc w:val="left"/>
              <w:rPr>
                <w:szCs w:val="24"/>
              </w:rPr>
            </w:pPr>
            <w:r w:rsidRPr="009C673F">
              <w:rPr>
                <w:szCs w:val="24"/>
              </w:rPr>
              <w:t>Gravel Bedding</w:t>
            </w:r>
          </w:p>
        </w:tc>
        <w:tc>
          <w:tcPr>
            <w:tcW w:w="1276" w:type="dxa"/>
          </w:tcPr>
          <w:p w:rsidR="00A75C93" w:rsidRPr="009C673F" w:rsidRDefault="009C673F" w:rsidP="00A75C93">
            <w:pPr>
              <w:jc w:val="center"/>
              <w:rPr>
                <w:szCs w:val="24"/>
              </w:rPr>
            </w:pPr>
            <w:r>
              <w:rPr>
                <w:szCs w:val="24"/>
              </w:rPr>
              <w:t>Cu.m</w:t>
            </w:r>
          </w:p>
        </w:tc>
        <w:tc>
          <w:tcPr>
            <w:tcW w:w="1134" w:type="dxa"/>
          </w:tcPr>
          <w:p w:rsidR="00A75C93" w:rsidRPr="009C673F" w:rsidRDefault="009C673F" w:rsidP="00A75C93">
            <w:pPr>
              <w:jc w:val="center"/>
              <w:rPr>
                <w:szCs w:val="24"/>
              </w:rPr>
            </w:pPr>
            <w:r>
              <w:rPr>
                <w:szCs w:val="24"/>
              </w:rPr>
              <w:t>21.45</w:t>
            </w:r>
          </w:p>
        </w:tc>
        <w:tc>
          <w:tcPr>
            <w:tcW w:w="1451" w:type="dxa"/>
          </w:tcPr>
          <w:p w:rsidR="00A75C93" w:rsidRPr="00CD5CF9" w:rsidRDefault="00A75C93" w:rsidP="00A75C93">
            <w:pPr>
              <w:jc w:val="center"/>
              <w:rPr>
                <w:szCs w:val="24"/>
              </w:rPr>
            </w:pPr>
          </w:p>
        </w:tc>
      </w:tr>
      <w:tr w:rsidR="00A75C93" w:rsidRPr="003609CA" w:rsidTr="009C673F">
        <w:trPr>
          <w:trHeight w:val="70"/>
          <w:jc w:val="center"/>
        </w:trPr>
        <w:tc>
          <w:tcPr>
            <w:tcW w:w="1254" w:type="dxa"/>
          </w:tcPr>
          <w:p w:rsidR="00A75C93" w:rsidRPr="009C673F" w:rsidRDefault="009C673F" w:rsidP="00A75C93">
            <w:pPr>
              <w:jc w:val="center"/>
              <w:rPr>
                <w:szCs w:val="24"/>
              </w:rPr>
            </w:pPr>
            <w:r w:rsidRPr="009C673F">
              <w:rPr>
                <w:szCs w:val="24"/>
              </w:rPr>
              <w:t>405</w:t>
            </w:r>
          </w:p>
        </w:tc>
        <w:tc>
          <w:tcPr>
            <w:tcW w:w="4677" w:type="dxa"/>
          </w:tcPr>
          <w:p w:rsidR="00A75C93" w:rsidRPr="009C673F" w:rsidRDefault="009C673F" w:rsidP="009C673F">
            <w:pPr>
              <w:jc w:val="left"/>
              <w:rPr>
                <w:szCs w:val="24"/>
              </w:rPr>
            </w:pPr>
            <w:r w:rsidRPr="009C673F">
              <w:rPr>
                <w:szCs w:val="24"/>
              </w:rPr>
              <w:t>Structural Concrete Class A (Minor Structures)</w:t>
            </w:r>
          </w:p>
        </w:tc>
        <w:tc>
          <w:tcPr>
            <w:tcW w:w="1276" w:type="dxa"/>
          </w:tcPr>
          <w:p w:rsidR="00A75C93" w:rsidRPr="009C673F" w:rsidRDefault="009C673F" w:rsidP="00A75C93">
            <w:pPr>
              <w:jc w:val="center"/>
              <w:rPr>
                <w:szCs w:val="24"/>
              </w:rPr>
            </w:pPr>
            <w:r>
              <w:rPr>
                <w:szCs w:val="24"/>
              </w:rPr>
              <w:t>Cu.m</w:t>
            </w:r>
          </w:p>
        </w:tc>
        <w:tc>
          <w:tcPr>
            <w:tcW w:w="1134" w:type="dxa"/>
          </w:tcPr>
          <w:p w:rsidR="00A75C93" w:rsidRPr="009C673F" w:rsidRDefault="009C673F" w:rsidP="00A75C93">
            <w:pPr>
              <w:jc w:val="center"/>
              <w:rPr>
                <w:szCs w:val="24"/>
              </w:rPr>
            </w:pPr>
            <w:r>
              <w:rPr>
                <w:szCs w:val="24"/>
              </w:rPr>
              <w:t>97.50</w:t>
            </w:r>
          </w:p>
        </w:tc>
        <w:tc>
          <w:tcPr>
            <w:tcW w:w="1451" w:type="dxa"/>
          </w:tcPr>
          <w:p w:rsidR="00A75C93" w:rsidRPr="00CD5CF9" w:rsidRDefault="00A75C93" w:rsidP="00A75C93">
            <w:pPr>
              <w:jc w:val="center"/>
              <w:rPr>
                <w:szCs w:val="24"/>
              </w:rPr>
            </w:pPr>
          </w:p>
        </w:tc>
      </w:tr>
      <w:tr w:rsidR="00A75C93" w:rsidRPr="003609CA" w:rsidTr="009C673F">
        <w:trPr>
          <w:trHeight w:val="70"/>
          <w:jc w:val="center"/>
        </w:trPr>
        <w:tc>
          <w:tcPr>
            <w:tcW w:w="1254" w:type="dxa"/>
          </w:tcPr>
          <w:p w:rsidR="00A75C93" w:rsidRPr="009C673F" w:rsidRDefault="009C673F" w:rsidP="00A75C93">
            <w:pPr>
              <w:jc w:val="center"/>
              <w:rPr>
                <w:szCs w:val="24"/>
              </w:rPr>
            </w:pPr>
            <w:r w:rsidRPr="009C673F">
              <w:rPr>
                <w:szCs w:val="24"/>
              </w:rPr>
              <w:t>404</w:t>
            </w:r>
          </w:p>
        </w:tc>
        <w:tc>
          <w:tcPr>
            <w:tcW w:w="4677" w:type="dxa"/>
          </w:tcPr>
          <w:p w:rsidR="00A75C93" w:rsidRPr="009C673F" w:rsidRDefault="009C673F" w:rsidP="00A75C93">
            <w:pPr>
              <w:jc w:val="left"/>
              <w:rPr>
                <w:szCs w:val="24"/>
              </w:rPr>
            </w:pPr>
            <w:r w:rsidRPr="009C673F">
              <w:rPr>
                <w:szCs w:val="24"/>
              </w:rPr>
              <w:t>Reinforcing Steel Bar Grade 40 (Minor Structures)</w:t>
            </w:r>
          </w:p>
        </w:tc>
        <w:tc>
          <w:tcPr>
            <w:tcW w:w="1276" w:type="dxa"/>
          </w:tcPr>
          <w:p w:rsidR="00A75C93" w:rsidRPr="009C673F" w:rsidRDefault="009C673F" w:rsidP="00A75C93">
            <w:pPr>
              <w:jc w:val="center"/>
              <w:rPr>
                <w:szCs w:val="24"/>
              </w:rPr>
            </w:pPr>
            <w:r>
              <w:rPr>
                <w:szCs w:val="24"/>
              </w:rPr>
              <w:t xml:space="preserve">Kgs </w:t>
            </w:r>
          </w:p>
        </w:tc>
        <w:tc>
          <w:tcPr>
            <w:tcW w:w="1134" w:type="dxa"/>
          </w:tcPr>
          <w:p w:rsidR="00A75C93" w:rsidRPr="009C673F" w:rsidRDefault="009C673F" w:rsidP="00A75C93">
            <w:pPr>
              <w:jc w:val="center"/>
              <w:rPr>
                <w:szCs w:val="24"/>
              </w:rPr>
            </w:pPr>
            <w:r>
              <w:rPr>
                <w:szCs w:val="24"/>
              </w:rPr>
              <w:t>9,179.35</w:t>
            </w:r>
          </w:p>
        </w:tc>
        <w:tc>
          <w:tcPr>
            <w:tcW w:w="1451" w:type="dxa"/>
          </w:tcPr>
          <w:p w:rsidR="00A75C93" w:rsidRPr="00CD5CF9" w:rsidRDefault="00A75C93" w:rsidP="00A75C93">
            <w:pPr>
              <w:jc w:val="center"/>
              <w:rPr>
                <w:szCs w:val="24"/>
              </w:rPr>
            </w:pPr>
          </w:p>
        </w:tc>
      </w:tr>
      <w:tr w:rsidR="00A75C93" w:rsidRPr="003609CA" w:rsidTr="009C673F">
        <w:trPr>
          <w:trHeight w:val="70"/>
          <w:jc w:val="center"/>
        </w:trPr>
        <w:tc>
          <w:tcPr>
            <w:tcW w:w="1254" w:type="dxa"/>
          </w:tcPr>
          <w:p w:rsidR="00A75C93" w:rsidRPr="009C673F" w:rsidRDefault="009C673F" w:rsidP="00A75C93">
            <w:pPr>
              <w:jc w:val="center"/>
              <w:rPr>
                <w:szCs w:val="24"/>
              </w:rPr>
            </w:pPr>
            <w:r w:rsidRPr="009C673F">
              <w:rPr>
                <w:szCs w:val="24"/>
              </w:rPr>
              <w:t>1046 (1) a2</w:t>
            </w:r>
          </w:p>
        </w:tc>
        <w:tc>
          <w:tcPr>
            <w:tcW w:w="4677" w:type="dxa"/>
          </w:tcPr>
          <w:p w:rsidR="00A75C93" w:rsidRPr="009C673F" w:rsidRDefault="009C673F" w:rsidP="00A75C93">
            <w:pPr>
              <w:jc w:val="left"/>
              <w:rPr>
                <w:szCs w:val="24"/>
              </w:rPr>
            </w:pPr>
            <w:r w:rsidRPr="009C673F">
              <w:rPr>
                <w:szCs w:val="24"/>
              </w:rPr>
              <w:t>CHB Load Bearing (Including Reinforcing Steel)</w:t>
            </w:r>
          </w:p>
        </w:tc>
        <w:tc>
          <w:tcPr>
            <w:tcW w:w="1276" w:type="dxa"/>
          </w:tcPr>
          <w:p w:rsidR="00A75C93" w:rsidRPr="009C673F" w:rsidRDefault="009C673F" w:rsidP="00A75C93">
            <w:pPr>
              <w:jc w:val="center"/>
              <w:rPr>
                <w:szCs w:val="24"/>
              </w:rPr>
            </w:pPr>
            <w:r>
              <w:rPr>
                <w:szCs w:val="24"/>
              </w:rPr>
              <w:t>Sq.m</w:t>
            </w:r>
          </w:p>
        </w:tc>
        <w:tc>
          <w:tcPr>
            <w:tcW w:w="1134" w:type="dxa"/>
          </w:tcPr>
          <w:p w:rsidR="00A75C93" w:rsidRPr="009C673F" w:rsidRDefault="009C673F" w:rsidP="00A75C93">
            <w:pPr>
              <w:jc w:val="center"/>
              <w:rPr>
                <w:szCs w:val="24"/>
              </w:rPr>
            </w:pPr>
            <w:r>
              <w:rPr>
                <w:szCs w:val="24"/>
              </w:rPr>
              <w:t>624.00</w:t>
            </w:r>
          </w:p>
        </w:tc>
        <w:tc>
          <w:tcPr>
            <w:tcW w:w="1451" w:type="dxa"/>
          </w:tcPr>
          <w:p w:rsidR="00A75C93" w:rsidRPr="00CD5CF9" w:rsidRDefault="00A75C93" w:rsidP="00A75C93">
            <w:pPr>
              <w:jc w:val="center"/>
              <w:rPr>
                <w:szCs w:val="24"/>
              </w:rPr>
            </w:pPr>
          </w:p>
        </w:tc>
      </w:tr>
      <w:tr w:rsidR="00A75C93" w:rsidRPr="003609CA" w:rsidTr="009C673F">
        <w:trPr>
          <w:trHeight w:val="70"/>
          <w:jc w:val="center"/>
        </w:trPr>
        <w:tc>
          <w:tcPr>
            <w:tcW w:w="1254" w:type="dxa"/>
          </w:tcPr>
          <w:p w:rsidR="00A75C93" w:rsidRPr="009C673F" w:rsidRDefault="009C673F" w:rsidP="00A75C93">
            <w:pPr>
              <w:jc w:val="center"/>
              <w:rPr>
                <w:szCs w:val="24"/>
              </w:rPr>
            </w:pPr>
            <w:r w:rsidRPr="009C673F">
              <w:rPr>
                <w:szCs w:val="24"/>
              </w:rPr>
              <w:t>SPL - 2</w:t>
            </w:r>
          </w:p>
        </w:tc>
        <w:tc>
          <w:tcPr>
            <w:tcW w:w="4677" w:type="dxa"/>
          </w:tcPr>
          <w:p w:rsidR="00A75C93" w:rsidRPr="009C673F" w:rsidRDefault="009C673F" w:rsidP="00A75C93">
            <w:pPr>
              <w:jc w:val="left"/>
              <w:rPr>
                <w:szCs w:val="24"/>
              </w:rPr>
            </w:pPr>
            <w:r w:rsidRPr="009C673F">
              <w:rPr>
                <w:szCs w:val="24"/>
              </w:rPr>
              <w:t>Construction Health &amp; Safety</w:t>
            </w:r>
          </w:p>
        </w:tc>
        <w:tc>
          <w:tcPr>
            <w:tcW w:w="1276" w:type="dxa"/>
          </w:tcPr>
          <w:p w:rsidR="00A75C93" w:rsidRPr="009C673F" w:rsidRDefault="009C673F" w:rsidP="00A75C93">
            <w:pPr>
              <w:jc w:val="center"/>
              <w:rPr>
                <w:szCs w:val="24"/>
              </w:rPr>
            </w:pPr>
            <w:r>
              <w:rPr>
                <w:szCs w:val="24"/>
              </w:rPr>
              <w:t>l.s</w:t>
            </w:r>
          </w:p>
        </w:tc>
        <w:tc>
          <w:tcPr>
            <w:tcW w:w="1134" w:type="dxa"/>
          </w:tcPr>
          <w:p w:rsidR="00A75C93" w:rsidRPr="009C673F" w:rsidRDefault="009C673F" w:rsidP="00A75C93">
            <w:pPr>
              <w:jc w:val="center"/>
              <w:rPr>
                <w:szCs w:val="24"/>
              </w:rPr>
            </w:pPr>
            <w:r>
              <w:rPr>
                <w:szCs w:val="24"/>
              </w:rPr>
              <w:t>1.00</w:t>
            </w:r>
          </w:p>
        </w:tc>
        <w:tc>
          <w:tcPr>
            <w:tcW w:w="1451" w:type="dxa"/>
          </w:tcPr>
          <w:p w:rsidR="00A75C93" w:rsidRPr="00CD5CF9" w:rsidRDefault="00A75C93" w:rsidP="00A75C93">
            <w:pPr>
              <w:jc w:val="center"/>
              <w:rPr>
                <w:szCs w:val="24"/>
              </w:rPr>
            </w:pPr>
          </w:p>
        </w:tc>
      </w:tr>
      <w:tr w:rsidR="00A75C93" w:rsidRPr="003609CA" w:rsidTr="009C673F">
        <w:trPr>
          <w:trHeight w:val="70"/>
          <w:jc w:val="center"/>
        </w:trPr>
        <w:tc>
          <w:tcPr>
            <w:tcW w:w="1254" w:type="dxa"/>
          </w:tcPr>
          <w:p w:rsidR="00A75C93" w:rsidRPr="009C673F" w:rsidRDefault="009C673F" w:rsidP="00A75C93">
            <w:pPr>
              <w:jc w:val="center"/>
              <w:rPr>
                <w:szCs w:val="24"/>
              </w:rPr>
            </w:pPr>
            <w:r w:rsidRPr="009C673F">
              <w:rPr>
                <w:szCs w:val="24"/>
              </w:rPr>
              <w:t>SPL-1</w:t>
            </w:r>
          </w:p>
        </w:tc>
        <w:tc>
          <w:tcPr>
            <w:tcW w:w="4677" w:type="dxa"/>
          </w:tcPr>
          <w:p w:rsidR="00A75C93" w:rsidRPr="009C673F" w:rsidRDefault="009C673F" w:rsidP="00A75C93">
            <w:pPr>
              <w:jc w:val="left"/>
              <w:rPr>
                <w:szCs w:val="24"/>
              </w:rPr>
            </w:pPr>
            <w:r w:rsidRPr="009C673F">
              <w:rPr>
                <w:szCs w:val="24"/>
              </w:rPr>
              <w:t>Project Signage</w:t>
            </w:r>
          </w:p>
        </w:tc>
        <w:tc>
          <w:tcPr>
            <w:tcW w:w="1276" w:type="dxa"/>
          </w:tcPr>
          <w:p w:rsidR="00A75C93" w:rsidRPr="009C673F" w:rsidRDefault="009C673F" w:rsidP="00A75C93">
            <w:pPr>
              <w:jc w:val="center"/>
              <w:rPr>
                <w:szCs w:val="24"/>
              </w:rPr>
            </w:pPr>
            <w:r>
              <w:rPr>
                <w:szCs w:val="24"/>
              </w:rPr>
              <w:t>l.s</w:t>
            </w:r>
          </w:p>
        </w:tc>
        <w:tc>
          <w:tcPr>
            <w:tcW w:w="1134" w:type="dxa"/>
          </w:tcPr>
          <w:p w:rsidR="00A75C93" w:rsidRPr="009C673F" w:rsidRDefault="009C673F" w:rsidP="00A75C93">
            <w:pPr>
              <w:jc w:val="center"/>
              <w:rPr>
                <w:szCs w:val="24"/>
              </w:rPr>
            </w:pPr>
            <w:r>
              <w:rPr>
                <w:szCs w:val="24"/>
              </w:rPr>
              <w:t>1.00</w:t>
            </w:r>
          </w:p>
        </w:tc>
        <w:tc>
          <w:tcPr>
            <w:tcW w:w="1451" w:type="dxa"/>
          </w:tcPr>
          <w:p w:rsidR="00A75C93" w:rsidRPr="00CD5CF9" w:rsidRDefault="00A75C93"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A27AC8" w:rsidRDefault="00A27AC8" w:rsidP="00F309BD"/>
    <w:p w:rsidR="00A27AC8" w:rsidRDefault="00A27AC8" w:rsidP="00F309BD"/>
    <w:p w:rsidR="007918B5" w:rsidRDefault="007918B5" w:rsidP="00F309BD"/>
    <w:p w:rsidR="007918B5" w:rsidRDefault="007918B5" w:rsidP="00F309BD"/>
    <w:p w:rsidR="007918B5" w:rsidRDefault="007918B5"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082223" w:rsidP="00F309BD">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A75C93" w:rsidRDefault="00A75C93" w:rsidP="00F309BD"/>
    <w:p w:rsidR="00A75C93" w:rsidRDefault="00A75C93" w:rsidP="00F309BD"/>
    <w:p w:rsidR="00A75C93" w:rsidRDefault="00A75C93" w:rsidP="00F309BD"/>
    <w:p w:rsidR="00E32481" w:rsidRDefault="00E32481" w:rsidP="00F309BD"/>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1812FB" w:rsidRDefault="001812FB" w:rsidP="00F309BD"/>
    <w:p w:rsidR="001812FB" w:rsidRDefault="001812FB" w:rsidP="00F309BD"/>
    <w:p w:rsidR="00F24EDD" w:rsidRDefault="00F24EDD" w:rsidP="00F309BD"/>
    <w:p w:rsidR="00BB7890" w:rsidRDefault="00BB7890" w:rsidP="00F309BD"/>
    <w:p w:rsidR="00396A7A" w:rsidRDefault="00396A7A" w:rsidP="00F309BD"/>
    <w:p w:rsidR="00396A7A" w:rsidRDefault="00396A7A" w:rsidP="00F309BD"/>
    <w:p w:rsidR="00396A7A" w:rsidRDefault="00396A7A" w:rsidP="00F309BD"/>
    <w:p w:rsidR="00396A7A" w:rsidRDefault="00396A7A" w:rsidP="00F309BD"/>
    <w:p w:rsidR="00396A7A" w:rsidRDefault="00396A7A" w:rsidP="00F309BD"/>
    <w:p w:rsidR="00BB7890" w:rsidRDefault="00BB7890" w:rsidP="00F309BD"/>
    <w:p w:rsidR="00685733" w:rsidRDefault="00685733" w:rsidP="00F309BD"/>
    <w:p w:rsidR="00BB7890" w:rsidRDefault="00BB7890" w:rsidP="00F309BD"/>
    <w:p w:rsidR="00BB7890" w:rsidRDefault="00BB7890"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lastRenderedPageBreak/>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082223"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876591">
          <w:rPr>
            <w:noProof/>
            <w:webHidden/>
            <w:sz w:val="28"/>
            <w:szCs w:val="28"/>
          </w:rPr>
          <w:t>2</w:t>
        </w:r>
      </w:hyperlink>
    </w:p>
    <w:p w:rsidR="00702E17" w:rsidRPr="00941EB7" w:rsidRDefault="00082223"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876591">
          <w:rPr>
            <w:noProof/>
            <w:webHidden/>
            <w:sz w:val="28"/>
            <w:szCs w:val="28"/>
          </w:rPr>
          <w:t>4</w:t>
        </w:r>
      </w:hyperlink>
    </w:p>
    <w:p w:rsidR="008E2FD2" w:rsidRDefault="00082223"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876591">
          <w:rPr>
            <w:noProof/>
            <w:webHidden/>
            <w:sz w:val="28"/>
            <w:szCs w:val="28"/>
          </w:rPr>
          <w:t>5</w:t>
        </w:r>
      </w:hyperlink>
    </w:p>
    <w:p w:rsidR="00217814" w:rsidRPr="00217814" w:rsidRDefault="00082223"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876591">
          <w:rPr>
            <w:noProof/>
            <w:webHidden/>
            <w:sz w:val="28"/>
            <w:szCs w:val="28"/>
          </w:rPr>
          <w:t>7</w:t>
        </w:r>
      </w:hyperlink>
    </w:p>
    <w:p w:rsidR="008E2FD2" w:rsidRPr="00941EB7" w:rsidRDefault="00082223"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876591">
          <w:rPr>
            <w:noProof/>
            <w:webHidden/>
            <w:sz w:val="28"/>
            <w:szCs w:val="28"/>
          </w:rPr>
          <w:t>9</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082223" w:rsidP="008E2FD2">
      <w:pPr>
        <w:pStyle w:val="TOC4"/>
        <w:rPr>
          <w:rFonts w:ascii="Times New Roman" w:hAnsi="Times New Roman"/>
          <w:b w:val="0"/>
          <w:noProof/>
          <w:sz w:val="22"/>
          <w:szCs w:val="22"/>
        </w:rPr>
      </w:pPr>
      <w:r w:rsidRPr="00082223">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082223">
        <w:rPr>
          <w:rFonts w:ascii="Times New Roman" w:hAnsi="Times New Roman"/>
          <w:b w:val="0"/>
          <w:bCs/>
          <w:szCs w:val="20"/>
        </w:rPr>
        <w:fldChar w:fldCharType="separate"/>
      </w:r>
    </w:p>
    <w:p w:rsidR="00F309BD" w:rsidRPr="00941EB7" w:rsidRDefault="00082223"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AC1AFC" w:rsidRPr="00941EB7" w:rsidRDefault="00AC1AFC" w:rsidP="00AC1AFC">
      <w:pPr>
        <w:tabs>
          <w:tab w:val="left" w:pos="6645"/>
        </w:tabs>
      </w:pPr>
      <w:r w:rsidRPr="00941EB7">
        <w:tab/>
      </w:r>
    </w:p>
    <w:p w:rsidR="00F309BD" w:rsidRPr="00941EB7" w:rsidRDefault="00F309BD" w:rsidP="00AC1AFC">
      <w:pPr>
        <w:sectPr w:rsidR="00F309BD" w:rsidRPr="00941EB7" w:rsidSect="00AC1AFC">
          <w:headerReference w:type="even" r:id="rId49"/>
          <w:headerReference w:type="default" r:id="rId50"/>
          <w:footerReference w:type="default" r:id="rId51"/>
          <w:headerReference w:type="first" r:id="rId52"/>
          <w:footnotePr>
            <w:numRestart w:val="eachPage"/>
          </w:footnotePr>
          <w:pgSz w:w="11909" w:h="16834" w:code="9"/>
          <w:pgMar w:top="1440" w:right="1440" w:bottom="1440" w:left="1440" w:header="720" w:footer="720" w:gutter="0"/>
          <w:cols w:space="720"/>
          <w:docGrid w:linePitch="360"/>
        </w:sectPr>
      </w:pPr>
    </w:p>
    <w:p w:rsidR="00396A7A" w:rsidRPr="000D30B4" w:rsidRDefault="00396A7A" w:rsidP="00396A7A">
      <w:pPr>
        <w:keepNext/>
        <w:spacing w:before="240" w:after="240"/>
        <w:ind w:left="2880" w:firstLine="720"/>
        <w:outlineLvl w:val="3"/>
        <w:rPr>
          <w:b/>
          <w:bCs/>
          <w:sz w:val="28"/>
          <w:szCs w:val="28"/>
        </w:rPr>
      </w:pPr>
      <w:r w:rsidRPr="000D30B4">
        <w:rPr>
          <w:b/>
          <w:bCs/>
          <w:sz w:val="28"/>
          <w:szCs w:val="28"/>
        </w:rPr>
        <w:lastRenderedPageBreak/>
        <w:t>Bid Form</w:t>
      </w:r>
    </w:p>
    <w:p w:rsidR="00396A7A" w:rsidRPr="000D30B4" w:rsidRDefault="00396A7A" w:rsidP="00396A7A">
      <w:pPr>
        <w:pBdr>
          <w:bottom w:val="single" w:sz="12" w:space="1" w:color="auto"/>
        </w:pBdr>
        <w:spacing w:before="120" w:after="240"/>
      </w:pPr>
    </w:p>
    <w:p w:rsidR="00396A7A" w:rsidRPr="000D30B4" w:rsidRDefault="00396A7A" w:rsidP="00396A7A">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396A7A" w:rsidRPr="000D30B4" w:rsidRDefault="00396A7A" w:rsidP="00396A7A">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396A7A" w:rsidRPr="000D30B4" w:rsidRDefault="00396A7A" w:rsidP="00396A7A">
      <w:pPr>
        <w:tabs>
          <w:tab w:val="right" w:pos="5760"/>
          <w:tab w:val="left" w:pos="5940"/>
          <w:tab w:val="right" w:pos="8460"/>
        </w:tabs>
        <w:suppressAutoHyphens/>
        <w:spacing w:before="120" w:after="240"/>
        <w:rPr>
          <w:szCs w:val="24"/>
        </w:rPr>
      </w:pPr>
    </w:p>
    <w:p w:rsidR="00396A7A" w:rsidRPr="000D30B4" w:rsidRDefault="00396A7A" w:rsidP="00396A7A">
      <w:pPr>
        <w:suppressAutoHyphens/>
        <w:spacing w:before="120"/>
        <w:rPr>
          <w:szCs w:val="24"/>
        </w:rPr>
      </w:pPr>
      <w:r w:rsidRPr="000D30B4">
        <w:t xml:space="preserve">To:  </w:t>
      </w:r>
      <w:r w:rsidRPr="000D30B4">
        <w:rPr>
          <w:i/>
          <w:szCs w:val="24"/>
        </w:rPr>
        <w:t>[name and address of PROCURING ENTITY]</w:t>
      </w:r>
    </w:p>
    <w:p w:rsidR="00396A7A" w:rsidRPr="000D30B4" w:rsidRDefault="00396A7A" w:rsidP="00396A7A">
      <w:pPr>
        <w:spacing w:before="120" w:after="240"/>
        <w:rPr>
          <w:i/>
        </w:rPr>
      </w:pPr>
      <w:r w:rsidRPr="000D30B4">
        <w:t xml:space="preserve">Address: </w:t>
      </w:r>
      <w:r w:rsidRPr="000D30B4">
        <w:rPr>
          <w:i/>
        </w:rPr>
        <w:t>[insert address]</w:t>
      </w:r>
    </w:p>
    <w:p w:rsidR="00396A7A" w:rsidRPr="000D30B4" w:rsidRDefault="00396A7A" w:rsidP="00396A7A">
      <w:pPr>
        <w:spacing w:before="120" w:after="240"/>
      </w:pPr>
    </w:p>
    <w:p w:rsidR="00396A7A" w:rsidRPr="000D30B4" w:rsidRDefault="00396A7A" w:rsidP="00396A7A">
      <w:pPr>
        <w:spacing w:before="120" w:after="240"/>
      </w:pPr>
      <w:r w:rsidRPr="000D30B4">
        <w:t xml:space="preserve">We, the undersigned, declare that: </w:t>
      </w:r>
    </w:p>
    <w:p w:rsidR="00396A7A" w:rsidRPr="000D30B4" w:rsidRDefault="00396A7A" w:rsidP="00396A7A">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396A7A" w:rsidRPr="000D30B4" w:rsidRDefault="00396A7A" w:rsidP="00396A7A">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396A7A" w:rsidRPr="000D30B4" w:rsidRDefault="00396A7A" w:rsidP="00396A7A">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396A7A" w:rsidRPr="000D30B4" w:rsidRDefault="00396A7A" w:rsidP="00396A7A">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396A7A" w:rsidRPr="000D30B4" w:rsidRDefault="00396A7A" w:rsidP="00396A7A">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396A7A" w:rsidRPr="000D30B4" w:rsidRDefault="00396A7A" w:rsidP="00396A7A">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396A7A" w:rsidRPr="000D30B4" w:rsidRDefault="00396A7A" w:rsidP="00396A7A">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396A7A" w:rsidRPr="000D30B4" w:rsidRDefault="00396A7A" w:rsidP="00396A7A">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396A7A" w:rsidRPr="000D30B4" w:rsidRDefault="00396A7A" w:rsidP="00396A7A">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396A7A" w:rsidRPr="000D30B4" w:rsidRDefault="00396A7A" w:rsidP="00396A7A">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396A7A" w:rsidRPr="000D30B4" w:rsidRDefault="00396A7A" w:rsidP="00396A7A">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396A7A" w:rsidRPr="000D30B4" w:rsidRDefault="00396A7A" w:rsidP="00396A7A">
      <w:pPr>
        <w:numPr>
          <w:ilvl w:val="0"/>
          <w:numId w:val="8"/>
        </w:numPr>
        <w:tabs>
          <w:tab w:val="right" w:pos="9000"/>
        </w:tabs>
        <w:spacing w:before="120" w:after="240"/>
      </w:pPr>
      <w:r w:rsidRPr="000D30B4">
        <w:rPr>
          <w:b/>
        </w:rPr>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0D30B4">
        <w:rPr>
          <w:b/>
          <w:i/>
          <w:u w:val="single"/>
        </w:rPr>
        <w:t>[Name of Project]</w:t>
      </w:r>
      <w:r w:rsidRPr="000D30B4">
        <w:rPr>
          <w:b/>
        </w:rPr>
        <w:t xml:space="preserve"> of the </w:t>
      </w:r>
      <w:r w:rsidRPr="000D30B4">
        <w:rPr>
          <w:b/>
          <w:i/>
          <w:u w:val="single"/>
        </w:rPr>
        <w:t>[Name of the Procuring Entity</w:t>
      </w:r>
      <w:r w:rsidRPr="000D30B4">
        <w:rPr>
          <w:b/>
          <w:i/>
        </w:rPr>
        <w:t>].</w:t>
      </w:r>
    </w:p>
    <w:p w:rsidR="00396A7A" w:rsidRPr="000D30B4" w:rsidRDefault="00396A7A" w:rsidP="00396A7A">
      <w:pPr>
        <w:numPr>
          <w:ilvl w:val="0"/>
          <w:numId w:val="8"/>
        </w:numPr>
        <w:tabs>
          <w:tab w:val="right" w:pos="9000"/>
        </w:tabs>
        <w:spacing w:before="120" w:after="240"/>
      </w:pPr>
      <w:r w:rsidRPr="000D30B4">
        <w:rPr>
          <w:b/>
          <w:szCs w:val="24"/>
        </w:rPr>
        <w:tab/>
        <w:t>We acknowledge that failure to sign each and every page of this Bid Form, including the Bill of Quantities, shall be a ground for the rejection of our bid.</w:t>
      </w:r>
    </w:p>
    <w:p w:rsidR="00396A7A" w:rsidRPr="000D30B4" w:rsidRDefault="00396A7A" w:rsidP="00396A7A">
      <w:pPr>
        <w:tabs>
          <w:tab w:val="left" w:pos="1188"/>
          <w:tab w:val="left" w:pos="2394"/>
          <w:tab w:val="left" w:pos="4209"/>
          <w:tab w:val="left" w:pos="5238"/>
          <w:tab w:val="left" w:pos="7632"/>
          <w:tab w:val="left" w:pos="7868"/>
          <w:tab w:val="left" w:pos="9468"/>
        </w:tabs>
        <w:spacing w:before="120" w:after="240"/>
      </w:pPr>
    </w:p>
    <w:p w:rsidR="00396A7A" w:rsidRPr="000D30B4" w:rsidRDefault="00396A7A" w:rsidP="00396A7A">
      <w:pPr>
        <w:tabs>
          <w:tab w:val="left" w:pos="1188"/>
          <w:tab w:val="left" w:pos="2394"/>
          <w:tab w:val="left" w:pos="4209"/>
          <w:tab w:val="left" w:pos="5238"/>
          <w:tab w:val="left" w:pos="7632"/>
          <w:tab w:val="left" w:pos="7868"/>
          <w:tab w:val="left" w:pos="8280"/>
        </w:tabs>
        <w:spacing w:before="120" w:after="240"/>
      </w:pPr>
    </w:p>
    <w:p w:rsidR="00396A7A" w:rsidRPr="000D30B4" w:rsidRDefault="00396A7A" w:rsidP="00396A7A">
      <w:pPr>
        <w:tabs>
          <w:tab w:val="left" w:pos="8280"/>
          <w:tab w:val="right" w:pos="9000"/>
        </w:tabs>
        <w:spacing w:before="120" w:after="240"/>
        <w:rPr>
          <w:u w:val="single"/>
        </w:rPr>
      </w:pPr>
      <w:r w:rsidRPr="000D30B4">
        <w:t xml:space="preserve">Name: </w:t>
      </w:r>
      <w:r w:rsidRPr="000D30B4">
        <w:rPr>
          <w:u w:val="single"/>
        </w:rPr>
        <w:tab/>
      </w:r>
    </w:p>
    <w:p w:rsidR="00396A7A" w:rsidRPr="000D30B4" w:rsidRDefault="00396A7A" w:rsidP="00396A7A">
      <w:pPr>
        <w:tabs>
          <w:tab w:val="left" w:pos="8280"/>
          <w:tab w:val="right" w:pos="9000"/>
        </w:tabs>
        <w:spacing w:before="120" w:after="240"/>
      </w:pPr>
      <w:r w:rsidRPr="000D30B4">
        <w:t xml:space="preserve">In the capacity of: </w:t>
      </w:r>
      <w:r w:rsidRPr="000D30B4">
        <w:rPr>
          <w:u w:val="single"/>
        </w:rPr>
        <w:tab/>
      </w:r>
    </w:p>
    <w:p w:rsidR="00396A7A" w:rsidRPr="000D30B4" w:rsidRDefault="00396A7A" w:rsidP="00396A7A">
      <w:pPr>
        <w:tabs>
          <w:tab w:val="left" w:pos="8280"/>
          <w:tab w:val="right" w:pos="9000"/>
        </w:tabs>
        <w:spacing w:before="120" w:after="240"/>
      </w:pPr>
      <w:r w:rsidRPr="000D30B4">
        <w:t xml:space="preserve">Signed: </w:t>
      </w:r>
      <w:r w:rsidRPr="000D30B4">
        <w:rPr>
          <w:u w:val="single"/>
        </w:rPr>
        <w:tab/>
      </w:r>
    </w:p>
    <w:p w:rsidR="00396A7A" w:rsidRPr="000D30B4" w:rsidRDefault="00396A7A" w:rsidP="00396A7A">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396A7A" w:rsidP="00396A7A">
      <w:pPr>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40671B" w:rsidRDefault="00702E17" w:rsidP="00967A03">
      <w:pPr>
        <w:ind w:left="-180"/>
        <w:jc w:val="center"/>
        <w:rPr>
          <w:b/>
          <w:i/>
          <w:sz w:val="26"/>
          <w:szCs w:val="24"/>
        </w:rPr>
      </w:pPr>
      <w:r w:rsidRPr="00F12448">
        <w:rPr>
          <w:b/>
          <w:i/>
          <w:sz w:val="26"/>
          <w:szCs w:val="24"/>
        </w:rPr>
        <w:t>NAME OF PROJECT:</w:t>
      </w:r>
      <w:r w:rsidR="00A43174">
        <w:rPr>
          <w:i/>
          <w:sz w:val="26"/>
          <w:szCs w:val="24"/>
        </w:rPr>
        <w:t xml:space="preserve"> </w:t>
      </w:r>
      <w:r w:rsidR="00203F9F">
        <w:rPr>
          <w:b/>
          <w:i/>
          <w:sz w:val="26"/>
          <w:szCs w:val="24"/>
        </w:rPr>
        <w:t>CONSTRUCTION OF MASONRY DRAINAGE</w:t>
      </w:r>
      <w:r w:rsidR="00A6343E">
        <w:rPr>
          <w:b/>
          <w:i/>
          <w:sz w:val="26"/>
          <w:szCs w:val="24"/>
        </w:rPr>
        <w:t xml:space="preserve"> STRUCTURE</w:t>
      </w:r>
    </w:p>
    <w:p w:rsidR="00B22733" w:rsidRPr="007546BB" w:rsidRDefault="00B22733" w:rsidP="00885903">
      <w:pPr>
        <w:ind w:left="-180"/>
        <w:rPr>
          <w:i/>
          <w:sz w:val="26"/>
          <w:szCs w:val="24"/>
        </w:rPr>
      </w:pPr>
    </w:p>
    <w:p w:rsidR="00B22733" w:rsidRPr="00216580" w:rsidRDefault="00F12448" w:rsidP="00216580">
      <w:pPr>
        <w:jc w:val="center"/>
        <w:rPr>
          <w:b/>
          <w:szCs w:val="24"/>
        </w:rPr>
      </w:pPr>
      <w:r>
        <w:rPr>
          <w:b/>
          <w:i/>
          <w:spacing w:val="-2"/>
        </w:rPr>
        <w:t>LOCATION</w:t>
      </w:r>
      <w:r w:rsidR="00265909" w:rsidRPr="00265909">
        <w:rPr>
          <w:b/>
          <w:i/>
          <w:spacing w:val="-2"/>
        </w:rPr>
        <w:t>:</w:t>
      </w:r>
      <w:r w:rsidR="00265909" w:rsidRPr="003E05B7">
        <w:rPr>
          <w:b/>
          <w:i/>
          <w:spacing w:val="-2"/>
        </w:rPr>
        <w:t xml:space="preserve"> </w:t>
      </w:r>
      <w:r w:rsidR="00A6343E">
        <w:rPr>
          <w:b/>
          <w:i/>
          <w:spacing w:val="-2"/>
        </w:rPr>
        <w:t>ARAO ST. EXTENSION</w:t>
      </w:r>
      <w:r w:rsidR="00E930C7" w:rsidRPr="003E05B7">
        <w:rPr>
          <w:b/>
          <w:i/>
          <w:spacing w:val="-2"/>
        </w:rPr>
        <w:t xml:space="preserve">, </w:t>
      </w:r>
      <w:r w:rsidR="00A6343E">
        <w:rPr>
          <w:b/>
          <w:i/>
          <w:spacing w:val="-2"/>
        </w:rPr>
        <w:t>UGAC</w:t>
      </w:r>
      <w:r w:rsidR="00203F9F">
        <w:rPr>
          <w:b/>
          <w:i/>
          <w:spacing w:val="-2"/>
        </w:rPr>
        <w:t xml:space="preserve"> SUR, </w:t>
      </w:r>
      <w:r w:rsidR="00E930C7">
        <w:rPr>
          <w:b/>
          <w:i/>
          <w:szCs w:val="24"/>
        </w:rPr>
        <w:t>TUGUEGARAO CITY</w:t>
      </w:r>
    </w:p>
    <w:p w:rsidR="00685FD5" w:rsidRDefault="00685FD5" w:rsidP="00BF1010">
      <w:pPr>
        <w:ind w:right="29"/>
        <w:rPr>
          <w:i/>
          <w:szCs w:val="24"/>
        </w:rPr>
      </w:pPr>
    </w:p>
    <w:p w:rsidR="003F6FD4" w:rsidRPr="004D4FA4" w:rsidRDefault="003F6FD4" w:rsidP="00BF1010">
      <w:pPr>
        <w:ind w:right="29"/>
        <w:rPr>
          <w:i/>
          <w:szCs w:val="24"/>
        </w:rPr>
      </w:pPr>
    </w:p>
    <w:tbl>
      <w:tblPr>
        <w:tblStyle w:val="TableGrid"/>
        <w:tblW w:w="10530" w:type="dxa"/>
        <w:tblInd w:w="-612" w:type="dxa"/>
        <w:tblLook w:val="04A0"/>
      </w:tblPr>
      <w:tblGrid>
        <w:gridCol w:w="1004"/>
        <w:gridCol w:w="3827"/>
        <w:gridCol w:w="1829"/>
        <w:gridCol w:w="1800"/>
        <w:gridCol w:w="2070"/>
      </w:tblGrid>
      <w:tr w:rsidR="008B0DDD" w:rsidRPr="004D4FA4" w:rsidTr="00FD3F95">
        <w:tc>
          <w:tcPr>
            <w:tcW w:w="1004" w:type="dxa"/>
          </w:tcPr>
          <w:p w:rsidR="008B0DDD" w:rsidRPr="004D4FA4" w:rsidRDefault="008B0DDD" w:rsidP="002204E3">
            <w:pPr>
              <w:jc w:val="center"/>
            </w:pPr>
            <w:r w:rsidRPr="004D4FA4">
              <w:rPr>
                <w:color w:val="000000"/>
                <w:szCs w:val="24"/>
              </w:rPr>
              <w:t>Item No.</w:t>
            </w:r>
          </w:p>
        </w:tc>
        <w:tc>
          <w:tcPr>
            <w:tcW w:w="3827" w:type="dxa"/>
            <w:vAlign w:val="center"/>
          </w:tcPr>
          <w:p w:rsidR="008B0DDD" w:rsidRPr="004D4FA4" w:rsidRDefault="008B0DDD">
            <w:pPr>
              <w:jc w:val="center"/>
              <w:rPr>
                <w:sz w:val="20"/>
              </w:rPr>
            </w:pPr>
            <w:r w:rsidRPr="004D4FA4">
              <w:rPr>
                <w:sz w:val="20"/>
              </w:rPr>
              <w:t>DESCRIPTION</w:t>
            </w:r>
          </w:p>
        </w:tc>
        <w:tc>
          <w:tcPr>
            <w:tcW w:w="1829" w:type="dxa"/>
            <w:vAlign w:val="center"/>
          </w:tcPr>
          <w:p w:rsidR="008B0DDD" w:rsidRPr="004D4FA4" w:rsidRDefault="008B0DDD">
            <w:pPr>
              <w:jc w:val="center"/>
              <w:rPr>
                <w:sz w:val="20"/>
              </w:rPr>
            </w:pPr>
            <w:r w:rsidRPr="004D4FA4">
              <w:rPr>
                <w:sz w:val="20"/>
              </w:rPr>
              <w:t>UNIT</w:t>
            </w:r>
            <w:r w:rsidR="00876591">
              <w:rPr>
                <w:sz w:val="20"/>
              </w:rPr>
              <w:t>/QTY</w:t>
            </w:r>
          </w:p>
        </w:tc>
        <w:tc>
          <w:tcPr>
            <w:tcW w:w="1800" w:type="dxa"/>
          </w:tcPr>
          <w:p w:rsidR="008B0DDD" w:rsidRPr="004D4FA4" w:rsidRDefault="008B0DDD" w:rsidP="002204E3">
            <w:pPr>
              <w:jc w:val="center"/>
            </w:pPr>
            <w:r w:rsidRPr="004D4FA4">
              <w:t>Unit Bid Price</w:t>
            </w:r>
          </w:p>
        </w:tc>
        <w:tc>
          <w:tcPr>
            <w:tcW w:w="2070" w:type="dxa"/>
          </w:tcPr>
          <w:p w:rsidR="008B0DDD" w:rsidRPr="004D4FA4" w:rsidRDefault="008B0DDD" w:rsidP="002204E3">
            <w:pPr>
              <w:jc w:val="center"/>
            </w:pPr>
            <w:r w:rsidRPr="004D4FA4">
              <w:t>Amount</w:t>
            </w:r>
          </w:p>
        </w:tc>
      </w:tr>
      <w:tr w:rsidR="00FD3F95" w:rsidRPr="007546BB" w:rsidTr="00FD3F95">
        <w:trPr>
          <w:trHeight w:val="70"/>
        </w:trPr>
        <w:tc>
          <w:tcPr>
            <w:tcW w:w="1004" w:type="dxa"/>
          </w:tcPr>
          <w:p w:rsidR="00FD3F95" w:rsidRPr="009C673F" w:rsidRDefault="00FD3F95" w:rsidP="005330BA">
            <w:pPr>
              <w:jc w:val="center"/>
              <w:rPr>
                <w:szCs w:val="24"/>
              </w:rPr>
            </w:pPr>
            <w:r w:rsidRPr="009C673F">
              <w:rPr>
                <w:szCs w:val="24"/>
              </w:rPr>
              <w:t>SPL -3</w:t>
            </w:r>
          </w:p>
        </w:tc>
        <w:tc>
          <w:tcPr>
            <w:tcW w:w="3827" w:type="dxa"/>
          </w:tcPr>
          <w:p w:rsidR="00FD3F95" w:rsidRPr="009C673F" w:rsidRDefault="00FD3F95" w:rsidP="005330BA">
            <w:pPr>
              <w:jc w:val="left"/>
              <w:rPr>
                <w:szCs w:val="24"/>
              </w:rPr>
            </w:pPr>
            <w:r w:rsidRPr="009C673F">
              <w:rPr>
                <w:szCs w:val="24"/>
              </w:rPr>
              <w:t xml:space="preserve">Manual Excavation </w:t>
            </w:r>
          </w:p>
        </w:tc>
        <w:tc>
          <w:tcPr>
            <w:tcW w:w="1829" w:type="dxa"/>
          </w:tcPr>
          <w:p w:rsidR="00FD3F95" w:rsidRPr="009C673F" w:rsidRDefault="00FD3F95" w:rsidP="005330BA">
            <w:pPr>
              <w:jc w:val="center"/>
              <w:rPr>
                <w:szCs w:val="24"/>
              </w:rPr>
            </w:pPr>
            <w:r>
              <w:rPr>
                <w:szCs w:val="24"/>
              </w:rPr>
              <w:t>Cu.m 450.45</w:t>
            </w:r>
          </w:p>
        </w:tc>
        <w:tc>
          <w:tcPr>
            <w:tcW w:w="1800" w:type="dxa"/>
          </w:tcPr>
          <w:p w:rsidR="00FD3F95" w:rsidRPr="00CD5CF9" w:rsidRDefault="00FD3F95" w:rsidP="00203F9F">
            <w:pPr>
              <w:jc w:val="center"/>
              <w:rPr>
                <w:szCs w:val="24"/>
              </w:rPr>
            </w:pPr>
          </w:p>
        </w:tc>
        <w:tc>
          <w:tcPr>
            <w:tcW w:w="2070" w:type="dxa"/>
          </w:tcPr>
          <w:p w:rsidR="00FD3F95" w:rsidRDefault="00FD3F95" w:rsidP="00203F9F">
            <w:pPr>
              <w:jc w:val="center"/>
              <w:rPr>
                <w:szCs w:val="24"/>
              </w:rPr>
            </w:pPr>
          </w:p>
        </w:tc>
      </w:tr>
      <w:tr w:rsidR="00FD3F95" w:rsidRPr="007546BB" w:rsidTr="00FD3F95">
        <w:trPr>
          <w:trHeight w:val="70"/>
        </w:trPr>
        <w:tc>
          <w:tcPr>
            <w:tcW w:w="1004" w:type="dxa"/>
          </w:tcPr>
          <w:p w:rsidR="00FD3F95" w:rsidRPr="009C673F" w:rsidRDefault="00FD3F95" w:rsidP="005330BA">
            <w:pPr>
              <w:jc w:val="center"/>
              <w:rPr>
                <w:szCs w:val="24"/>
              </w:rPr>
            </w:pPr>
            <w:r w:rsidRPr="009C673F">
              <w:rPr>
                <w:szCs w:val="24"/>
              </w:rPr>
              <w:t>804 (4)</w:t>
            </w:r>
          </w:p>
        </w:tc>
        <w:tc>
          <w:tcPr>
            <w:tcW w:w="3827" w:type="dxa"/>
          </w:tcPr>
          <w:p w:rsidR="00FD3F95" w:rsidRPr="009C673F" w:rsidRDefault="00FD3F95" w:rsidP="005330BA">
            <w:pPr>
              <w:jc w:val="left"/>
              <w:rPr>
                <w:szCs w:val="24"/>
              </w:rPr>
            </w:pPr>
            <w:r w:rsidRPr="009C673F">
              <w:rPr>
                <w:szCs w:val="24"/>
              </w:rPr>
              <w:t>Gravel Bedding</w:t>
            </w:r>
          </w:p>
        </w:tc>
        <w:tc>
          <w:tcPr>
            <w:tcW w:w="1829" w:type="dxa"/>
          </w:tcPr>
          <w:p w:rsidR="00FD3F95" w:rsidRPr="009C673F" w:rsidRDefault="00FD3F95" w:rsidP="005330BA">
            <w:pPr>
              <w:jc w:val="center"/>
              <w:rPr>
                <w:szCs w:val="24"/>
              </w:rPr>
            </w:pPr>
            <w:r>
              <w:rPr>
                <w:szCs w:val="24"/>
              </w:rPr>
              <w:t>Cu.m 21.45</w:t>
            </w:r>
          </w:p>
        </w:tc>
        <w:tc>
          <w:tcPr>
            <w:tcW w:w="1800" w:type="dxa"/>
          </w:tcPr>
          <w:p w:rsidR="00FD3F95" w:rsidRPr="00CD5CF9" w:rsidRDefault="00FD3F95" w:rsidP="00203F9F">
            <w:pPr>
              <w:jc w:val="center"/>
              <w:rPr>
                <w:szCs w:val="24"/>
              </w:rPr>
            </w:pPr>
          </w:p>
        </w:tc>
        <w:tc>
          <w:tcPr>
            <w:tcW w:w="2070" w:type="dxa"/>
          </w:tcPr>
          <w:p w:rsidR="00FD3F95" w:rsidRDefault="00FD3F95" w:rsidP="00203F9F">
            <w:pPr>
              <w:jc w:val="center"/>
              <w:rPr>
                <w:szCs w:val="24"/>
              </w:rPr>
            </w:pPr>
          </w:p>
        </w:tc>
      </w:tr>
      <w:tr w:rsidR="00FD3F95" w:rsidRPr="007546BB" w:rsidTr="00FD3F95">
        <w:trPr>
          <w:trHeight w:val="70"/>
        </w:trPr>
        <w:tc>
          <w:tcPr>
            <w:tcW w:w="1004" w:type="dxa"/>
          </w:tcPr>
          <w:p w:rsidR="00FD3F95" w:rsidRPr="009C673F" w:rsidRDefault="00FD3F95" w:rsidP="005330BA">
            <w:pPr>
              <w:jc w:val="center"/>
              <w:rPr>
                <w:szCs w:val="24"/>
              </w:rPr>
            </w:pPr>
            <w:r w:rsidRPr="009C673F">
              <w:rPr>
                <w:szCs w:val="24"/>
              </w:rPr>
              <w:t>405</w:t>
            </w:r>
          </w:p>
        </w:tc>
        <w:tc>
          <w:tcPr>
            <w:tcW w:w="3827" w:type="dxa"/>
          </w:tcPr>
          <w:p w:rsidR="00FD3F95" w:rsidRPr="009C673F" w:rsidRDefault="00FD3F95" w:rsidP="005330BA">
            <w:pPr>
              <w:jc w:val="left"/>
              <w:rPr>
                <w:szCs w:val="24"/>
              </w:rPr>
            </w:pPr>
            <w:r w:rsidRPr="009C673F">
              <w:rPr>
                <w:szCs w:val="24"/>
              </w:rPr>
              <w:t>Structural Concrete Class A (Minor Structures)</w:t>
            </w:r>
          </w:p>
        </w:tc>
        <w:tc>
          <w:tcPr>
            <w:tcW w:w="1829" w:type="dxa"/>
          </w:tcPr>
          <w:p w:rsidR="00FD3F95" w:rsidRPr="009C673F" w:rsidRDefault="00FD3F95" w:rsidP="005330BA">
            <w:pPr>
              <w:jc w:val="center"/>
              <w:rPr>
                <w:szCs w:val="24"/>
              </w:rPr>
            </w:pPr>
            <w:r>
              <w:rPr>
                <w:szCs w:val="24"/>
              </w:rPr>
              <w:t>Cu.m 97.50</w:t>
            </w:r>
          </w:p>
        </w:tc>
        <w:tc>
          <w:tcPr>
            <w:tcW w:w="1800" w:type="dxa"/>
          </w:tcPr>
          <w:p w:rsidR="00FD3F95" w:rsidRPr="00CD5CF9" w:rsidRDefault="00FD3F95" w:rsidP="00203F9F">
            <w:pPr>
              <w:jc w:val="center"/>
              <w:rPr>
                <w:szCs w:val="24"/>
              </w:rPr>
            </w:pPr>
          </w:p>
        </w:tc>
        <w:tc>
          <w:tcPr>
            <w:tcW w:w="2070" w:type="dxa"/>
          </w:tcPr>
          <w:p w:rsidR="00FD3F95" w:rsidRDefault="00FD3F95" w:rsidP="00203F9F">
            <w:pPr>
              <w:jc w:val="center"/>
              <w:rPr>
                <w:szCs w:val="24"/>
              </w:rPr>
            </w:pPr>
          </w:p>
        </w:tc>
      </w:tr>
      <w:tr w:rsidR="00FD3F95" w:rsidRPr="007546BB" w:rsidTr="00FD3F95">
        <w:trPr>
          <w:trHeight w:val="70"/>
        </w:trPr>
        <w:tc>
          <w:tcPr>
            <w:tcW w:w="1004" w:type="dxa"/>
          </w:tcPr>
          <w:p w:rsidR="00FD3F95" w:rsidRPr="009C673F" w:rsidRDefault="00FD3F95" w:rsidP="005330BA">
            <w:pPr>
              <w:jc w:val="center"/>
              <w:rPr>
                <w:szCs w:val="24"/>
              </w:rPr>
            </w:pPr>
            <w:r w:rsidRPr="009C673F">
              <w:rPr>
                <w:szCs w:val="24"/>
              </w:rPr>
              <w:t>404</w:t>
            </w:r>
          </w:p>
        </w:tc>
        <w:tc>
          <w:tcPr>
            <w:tcW w:w="3827" w:type="dxa"/>
          </w:tcPr>
          <w:p w:rsidR="00FD3F95" w:rsidRPr="009C673F" w:rsidRDefault="00FD3F95" w:rsidP="005330BA">
            <w:pPr>
              <w:jc w:val="left"/>
              <w:rPr>
                <w:szCs w:val="24"/>
              </w:rPr>
            </w:pPr>
            <w:r w:rsidRPr="009C673F">
              <w:rPr>
                <w:szCs w:val="24"/>
              </w:rPr>
              <w:t>Reinforcing Steel Bar Grade 40 (Minor Structures)</w:t>
            </w:r>
          </w:p>
        </w:tc>
        <w:tc>
          <w:tcPr>
            <w:tcW w:w="1829" w:type="dxa"/>
          </w:tcPr>
          <w:p w:rsidR="00FD3F95" w:rsidRPr="009C673F" w:rsidRDefault="00FD3F95" w:rsidP="005330BA">
            <w:pPr>
              <w:jc w:val="center"/>
              <w:rPr>
                <w:szCs w:val="24"/>
              </w:rPr>
            </w:pPr>
            <w:r>
              <w:rPr>
                <w:szCs w:val="24"/>
              </w:rPr>
              <w:t>Kgs 9,179.35</w:t>
            </w:r>
          </w:p>
        </w:tc>
        <w:tc>
          <w:tcPr>
            <w:tcW w:w="1800" w:type="dxa"/>
          </w:tcPr>
          <w:p w:rsidR="00FD3F95" w:rsidRPr="00CD5CF9" w:rsidRDefault="00FD3F95" w:rsidP="00203F9F">
            <w:pPr>
              <w:jc w:val="center"/>
              <w:rPr>
                <w:szCs w:val="24"/>
              </w:rPr>
            </w:pPr>
          </w:p>
        </w:tc>
        <w:tc>
          <w:tcPr>
            <w:tcW w:w="2070" w:type="dxa"/>
          </w:tcPr>
          <w:p w:rsidR="00FD3F95" w:rsidRDefault="00FD3F95" w:rsidP="00203F9F">
            <w:pPr>
              <w:jc w:val="center"/>
              <w:rPr>
                <w:szCs w:val="24"/>
              </w:rPr>
            </w:pPr>
          </w:p>
        </w:tc>
      </w:tr>
      <w:tr w:rsidR="00FD3F95" w:rsidRPr="007546BB" w:rsidTr="00FD3F95">
        <w:trPr>
          <w:trHeight w:val="70"/>
        </w:trPr>
        <w:tc>
          <w:tcPr>
            <w:tcW w:w="1004" w:type="dxa"/>
          </w:tcPr>
          <w:p w:rsidR="00FD3F95" w:rsidRPr="009C673F" w:rsidRDefault="00FD3F95" w:rsidP="005330BA">
            <w:pPr>
              <w:jc w:val="center"/>
              <w:rPr>
                <w:szCs w:val="24"/>
              </w:rPr>
            </w:pPr>
            <w:r w:rsidRPr="009C673F">
              <w:rPr>
                <w:szCs w:val="24"/>
              </w:rPr>
              <w:t>1046 (1) a2</w:t>
            </w:r>
          </w:p>
        </w:tc>
        <w:tc>
          <w:tcPr>
            <w:tcW w:w="3827" w:type="dxa"/>
          </w:tcPr>
          <w:p w:rsidR="00FD3F95" w:rsidRPr="009C673F" w:rsidRDefault="00FD3F95" w:rsidP="005330BA">
            <w:pPr>
              <w:jc w:val="left"/>
              <w:rPr>
                <w:szCs w:val="24"/>
              </w:rPr>
            </w:pPr>
            <w:r w:rsidRPr="009C673F">
              <w:rPr>
                <w:szCs w:val="24"/>
              </w:rPr>
              <w:t>CHB Load Bearing (Including Reinforcing Steel)</w:t>
            </w:r>
          </w:p>
        </w:tc>
        <w:tc>
          <w:tcPr>
            <w:tcW w:w="1829" w:type="dxa"/>
          </w:tcPr>
          <w:p w:rsidR="00FD3F95" w:rsidRPr="009C673F" w:rsidRDefault="00FD3F95" w:rsidP="005330BA">
            <w:pPr>
              <w:jc w:val="center"/>
              <w:rPr>
                <w:szCs w:val="24"/>
              </w:rPr>
            </w:pPr>
            <w:r>
              <w:rPr>
                <w:szCs w:val="24"/>
              </w:rPr>
              <w:t>Sq.m 624.00</w:t>
            </w:r>
          </w:p>
        </w:tc>
        <w:tc>
          <w:tcPr>
            <w:tcW w:w="1800" w:type="dxa"/>
          </w:tcPr>
          <w:p w:rsidR="00FD3F95" w:rsidRPr="00CD5CF9" w:rsidRDefault="00FD3F95" w:rsidP="00203F9F">
            <w:pPr>
              <w:jc w:val="center"/>
              <w:rPr>
                <w:szCs w:val="24"/>
              </w:rPr>
            </w:pPr>
          </w:p>
        </w:tc>
        <w:tc>
          <w:tcPr>
            <w:tcW w:w="2070" w:type="dxa"/>
          </w:tcPr>
          <w:p w:rsidR="00FD3F95" w:rsidRDefault="00FD3F95" w:rsidP="00203F9F">
            <w:pPr>
              <w:jc w:val="center"/>
              <w:rPr>
                <w:szCs w:val="24"/>
              </w:rPr>
            </w:pPr>
          </w:p>
        </w:tc>
      </w:tr>
      <w:tr w:rsidR="00FD3F95" w:rsidRPr="007546BB" w:rsidTr="00FD3F95">
        <w:trPr>
          <w:trHeight w:val="70"/>
        </w:trPr>
        <w:tc>
          <w:tcPr>
            <w:tcW w:w="1004" w:type="dxa"/>
          </w:tcPr>
          <w:p w:rsidR="00FD3F95" w:rsidRPr="009C673F" w:rsidRDefault="00FD3F95" w:rsidP="005330BA">
            <w:pPr>
              <w:jc w:val="center"/>
              <w:rPr>
                <w:szCs w:val="24"/>
              </w:rPr>
            </w:pPr>
            <w:r w:rsidRPr="009C673F">
              <w:rPr>
                <w:szCs w:val="24"/>
              </w:rPr>
              <w:t>SPL - 2</w:t>
            </w:r>
          </w:p>
        </w:tc>
        <w:tc>
          <w:tcPr>
            <w:tcW w:w="3827" w:type="dxa"/>
          </w:tcPr>
          <w:p w:rsidR="00FD3F95" w:rsidRPr="009C673F" w:rsidRDefault="00FD3F95" w:rsidP="005330BA">
            <w:pPr>
              <w:jc w:val="left"/>
              <w:rPr>
                <w:szCs w:val="24"/>
              </w:rPr>
            </w:pPr>
            <w:r w:rsidRPr="009C673F">
              <w:rPr>
                <w:szCs w:val="24"/>
              </w:rPr>
              <w:t>Construction Health &amp; Safety</w:t>
            </w:r>
          </w:p>
        </w:tc>
        <w:tc>
          <w:tcPr>
            <w:tcW w:w="1829" w:type="dxa"/>
          </w:tcPr>
          <w:p w:rsidR="00FD3F95" w:rsidRPr="009C673F" w:rsidRDefault="00FD3F95" w:rsidP="005330BA">
            <w:pPr>
              <w:jc w:val="center"/>
              <w:rPr>
                <w:szCs w:val="24"/>
              </w:rPr>
            </w:pPr>
            <w:r>
              <w:rPr>
                <w:szCs w:val="24"/>
              </w:rPr>
              <w:t>l.s 1.00</w:t>
            </w:r>
          </w:p>
        </w:tc>
        <w:tc>
          <w:tcPr>
            <w:tcW w:w="1800" w:type="dxa"/>
          </w:tcPr>
          <w:p w:rsidR="00FD3F95" w:rsidRPr="00CD5CF9" w:rsidRDefault="00FD3F95" w:rsidP="00203F9F">
            <w:pPr>
              <w:jc w:val="center"/>
              <w:rPr>
                <w:szCs w:val="24"/>
              </w:rPr>
            </w:pPr>
          </w:p>
        </w:tc>
        <w:tc>
          <w:tcPr>
            <w:tcW w:w="2070" w:type="dxa"/>
          </w:tcPr>
          <w:p w:rsidR="00FD3F95" w:rsidRDefault="00FD3F95" w:rsidP="00203F9F">
            <w:pPr>
              <w:jc w:val="center"/>
              <w:rPr>
                <w:szCs w:val="24"/>
              </w:rPr>
            </w:pPr>
          </w:p>
        </w:tc>
      </w:tr>
      <w:tr w:rsidR="00FD3F95" w:rsidRPr="007546BB" w:rsidTr="00FD3F95">
        <w:trPr>
          <w:trHeight w:val="70"/>
        </w:trPr>
        <w:tc>
          <w:tcPr>
            <w:tcW w:w="1004" w:type="dxa"/>
          </w:tcPr>
          <w:p w:rsidR="00FD3F95" w:rsidRPr="009C673F" w:rsidRDefault="00FD3F95" w:rsidP="005330BA">
            <w:pPr>
              <w:jc w:val="center"/>
              <w:rPr>
                <w:szCs w:val="24"/>
              </w:rPr>
            </w:pPr>
            <w:r w:rsidRPr="009C673F">
              <w:rPr>
                <w:szCs w:val="24"/>
              </w:rPr>
              <w:t>SPL-1</w:t>
            </w:r>
          </w:p>
        </w:tc>
        <w:tc>
          <w:tcPr>
            <w:tcW w:w="3827" w:type="dxa"/>
          </w:tcPr>
          <w:p w:rsidR="00FD3F95" w:rsidRPr="009C673F" w:rsidRDefault="00FD3F95" w:rsidP="005330BA">
            <w:pPr>
              <w:jc w:val="left"/>
              <w:rPr>
                <w:szCs w:val="24"/>
              </w:rPr>
            </w:pPr>
            <w:r w:rsidRPr="009C673F">
              <w:rPr>
                <w:szCs w:val="24"/>
              </w:rPr>
              <w:t>Project Signage</w:t>
            </w:r>
          </w:p>
        </w:tc>
        <w:tc>
          <w:tcPr>
            <w:tcW w:w="1829" w:type="dxa"/>
          </w:tcPr>
          <w:p w:rsidR="00FD3F95" w:rsidRPr="009C673F" w:rsidRDefault="00FD3F95" w:rsidP="005330BA">
            <w:pPr>
              <w:jc w:val="center"/>
              <w:rPr>
                <w:szCs w:val="24"/>
              </w:rPr>
            </w:pPr>
            <w:r>
              <w:rPr>
                <w:szCs w:val="24"/>
              </w:rPr>
              <w:t>l.s 1.00</w:t>
            </w:r>
          </w:p>
        </w:tc>
        <w:tc>
          <w:tcPr>
            <w:tcW w:w="1800" w:type="dxa"/>
          </w:tcPr>
          <w:p w:rsidR="00FD3F95" w:rsidRPr="00CD5CF9" w:rsidRDefault="00FD3F95" w:rsidP="00203F9F">
            <w:pPr>
              <w:jc w:val="center"/>
              <w:rPr>
                <w:szCs w:val="24"/>
              </w:rPr>
            </w:pPr>
          </w:p>
        </w:tc>
        <w:tc>
          <w:tcPr>
            <w:tcW w:w="2070" w:type="dxa"/>
          </w:tcPr>
          <w:p w:rsidR="00FD3F95" w:rsidRDefault="00FD3F95"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Pr="007546BB" w:rsidRDefault="007546BB" w:rsidP="007546BB">
      <w:pPr>
        <w:pStyle w:val="NoSpacing"/>
        <w:jc w:val="center"/>
        <w:rPr>
          <w:sz w:val="20"/>
          <w:szCs w:val="20"/>
        </w:rPr>
        <w:sectPr w:rsidR="00702E17" w:rsidRPr="007546BB" w:rsidSect="009B2C20">
          <w:headerReference w:type="even" r:id="rId53"/>
          <w:headerReference w:type="default" r:id="rId54"/>
          <w:footerReference w:type="default" r:id="rId55"/>
          <w:headerReference w:type="first" r:id="rId56"/>
          <w:type w:val="continuous"/>
          <w:pgSz w:w="11907" w:h="16839" w:code="9"/>
          <w:pgMar w:top="1440" w:right="1440" w:bottom="1440" w:left="1440" w:header="288" w:footer="288" w:gutter="0"/>
          <w:cols w:space="720"/>
          <w:docGrid w:linePitch="360"/>
        </w:sectPr>
      </w:pPr>
      <w:r w:rsidRPr="008D436F">
        <w:rPr>
          <w:sz w:val="24"/>
          <w:szCs w:val="24"/>
        </w:rPr>
        <w:t>PHP</w:t>
      </w:r>
      <w:r w:rsidR="00702E17" w:rsidRPr="008D436F">
        <w:rPr>
          <w:sz w:val="24"/>
          <w:szCs w:val="24"/>
        </w:rPr>
        <w:t>___________________________________</w:t>
      </w:r>
    </w:p>
    <w:p w:rsidR="00AA20D4" w:rsidRPr="004D4FA4" w:rsidRDefault="00AA20D4" w:rsidP="00AA20D4">
      <w:pPr>
        <w:pStyle w:val="Heading4"/>
        <w:rPr>
          <w:b w:val="0"/>
        </w:rPr>
      </w:pPr>
      <w:bookmarkStart w:id="3221" w:name="_Toc82397598"/>
      <w:bookmarkStart w:id="3222" w:name="_Toc101545917"/>
      <w:bookmarkStart w:id="3223" w:name="_Toc240787900"/>
      <w:r w:rsidRPr="004D4FA4">
        <w:rPr>
          <w:b w:val="0"/>
        </w:rPr>
        <w:lastRenderedPageBreak/>
        <w:t>Form of Contract Agreement</w:t>
      </w:r>
      <w:bookmarkEnd w:id="3221"/>
      <w:bookmarkEnd w:id="3222"/>
      <w:bookmarkEnd w:id="3223"/>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r w:rsidRPr="004D4FA4">
        <w:rPr>
          <w:sz w:val="22"/>
        </w:rPr>
        <w:t xml:space="preserve">(hereinafter called the“Entity”)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Notice of Award of Contract and the Bidder’s conforme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r w:rsidR="00E71A5D">
        <w:rPr>
          <w:rFonts w:ascii="Times New Roman" w:hAnsi="Times New Roman"/>
          <w:sz w:val="24"/>
          <w:szCs w:val="24"/>
        </w:rPr>
        <w:t>L</w:t>
      </w:r>
      <w:r w:rsidRPr="004D4FA4">
        <w:rPr>
          <w:rFonts w:ascii="Times New Roman" w:hAnsi="Times New Roman"/>
          <w:sz w:val="24"/>
          <w:szCs w:val="24"/>
        </w:rPr>
        <w:t>abor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r w:rsidRPr="004D4FA4">
        <w:rPr>
          <w:szCs w:val="24"/>
        </w:rPr>
        <w:t xml:space="preserve">IN WITNESS </w:t>
      </w:r>
      <w:r w:rsidRPr="004D4FA4">
        <w:t>whereof the parties thereto have caused this Agreement to be executed the day and year first before written.</w:t>
      </w:r>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082223"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7"/>
          <w:headerReference w:type="default" r:id="rId58"/>
          <w:footerReference w:type="default" r:id="rId59"/>
          <w:headerReference w:type="first" r:id="rId60"/>
          <w:pgSz w:w="11907" w:h="16839" w:code="9"/>
          <w:pgMar w:top="720" w:right="1440" w:bottom="1440" w:left="1440" w:header="720" w:footer="720" w:gutter="0"/>
          <w:cols w:space="720"/>
          <w:docGrid w:linePitch="360"/>
        </w:sectPr>
      </w:pPr>
    </w:p>
    <w:p w:rsidR="00416EDC" w:rsidRPr="002650C9" w:rsidRDefault="00416EDC" w:rsidP="00416EDC">
      <w:pPr>
        <w:jc w:val="center"/>
        <w:rPr>
          <w:b/>
          <w:sz w:val="22"/>
          <w:szCs w:val="22"/>
        </w:rPr>
      </w:pPr>
      <w:r w:rsidRPr="002650C9">
        <w:rPr>
          <w:b/>
          <w:sz w:val="22"/>
          <w:szCs w:val="22"/>
        </w:rPr>
        <w:lastRenderedPageBreak/>
        <w:t>Omnibus Sworn Statement (Revised)</w:t>
      </w:r>
    </w:p>
    <w:p w:rsidR="00416EDC" w:rsidRPr="002650C9" w:rsidRDefault="00416EDC" w:rsidP="00416EDC">
      <w:pPr>
        <w:jc w:val="center"/>
        <w:rPr>
          <w:b/>
          <w:i/>
          <w:sz w:val="22"/>
          <w:szCs w:val="22"/>
        </w:rPr>
      </w:pPr>
      <w:r w:rsidRPr="002650C9">
        <w:rPr>
          <w:b/>
          <w:i/>
          <w:sz w:val="22"/>
          <w:szCs w:val="22"/>
        </w:rPr>
        <w:t>[shall be submitted with the Bid]</w:t>
      </w:r>
    </w:p>
    <w:p w:rsidR="00416EDC" w:rsidRPr="002650C9" w:rsidRDefault="00416EDC" w:rsidP="00416EDC">
      <w:pPr>
        <w:rPr>
          <w:sz w:val="22"/>
          <w:szCs w:val="22"/>
        </w:rPr>
      </w:pPr>
      <w:r w:rsidRPr="002650C9">
        <w:rPr>
          <w:sz w:val="22"/>
          <w:szCs w:val="22"/>
        </w:rPr>
        <w:t>_________________________________________________________________________</w:t>
      </w:r>
    </w:p>
    <w:p w:rsidR="00416EDC" w:rsidRPr="002650C9" w:rsidRDefault="00416EDC" w:rsidP="00416EDC">
      <w:pPr>
        <w:rPr>
          <w:sz w:val="22"/>
          <w:szCs w:val="22"/>
        </w:rPr>
      </w:pPr>
    </w:p>
    <w:p w:rsidR="00416EDC" w:rsidRPr="002650C9" w:rsidRDefault="00416EDC" w:rsidP="00416EDC">
      <w:pPr>
        <w:rPr>
          <w:sz w:val="22"/>
          <w:szCs w:val="22"/>
        </w:rPr>
      </w:pPr>
      <w:r w:rsidRPr="002650C9">
        <w:rPr>
          <w:sz w:val="22"/>
          <w:szCs w:val="22"/>
        </w:rPr>
        <w:t>REPUBLIC OF THE PHILIPPINES )</w:t>
      </w:r>
    </w:p>
    <w:p w:rsidR="00416EDC" w:rsidRPr="002650C9" w:rsidRDefault="00416EDC" w:rsidP="00416EDC">
      <w:pPr>
        <w:rPr>
          <w:sz w:val="22"/>
          <w:szCs w:val="22"/>
        </w:rPr>
      </w:pPr>
      <w:r w:rsidRPr="002650C9">
        <w:rPr>
          <w:sz w:val="22"/>
          <w:szCs w:val="22"/>
        </w:rPr>
        <w:t>CITY/MUNICIPALITY OF ______  ) S.S.</w:t>
      </w:r>
    </w:p>
    <w:p w:rsidR="00416EDC" w:rsidRPr="002650C9" w:rsidRDefault="00416EDC" w:rsidP="00416EDC">
      <w:pPr>
        <w:spacing w:before="240"/>
        <w:jc w:val="center"/>
        <w:rPr>
          <w:sz w:val="22"/>
          <w:szCs w:val="22"/>
        </w:rPr>
      </w:pPr>
      <w:r w:rsidRPr="002650C9">
        <w:rPr>
          <w:sz w:val="22"/>
          <w:szCs w:val="22"/>
        </w:rPr>
        <w:t xml:space="preserve"> </w:t>
      </w:r>
      <w:r w:rsidRPr="002650C9">
        <w:rPr>
          <w:b/>
          <w:sz w:val="22"/>
          <w:szCs w:val="22"/>
        </w:rPr>
        <w:t>AFFIDAVIT</w:t>
      </w:r>
    </w:p>
    <w:p w:rsidR="00416EDC" w:rsidRPr="002650C9" w:rsidRDefault="00416EDC" w:rsidP="00416EDC">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416EDC" w:rsidRPr="002650C9" w:rsidRDefault="00416EDC" w:rsidP="00416EDC">
      <w:pPr>
        <w:rPr>
          <w:sz w:val="22"/>
          <w:szCs w:val="22"/>
        </w:rPr>
      </w:pPr>
    </w:p>
    <w:p w:rsidR="00416EDC" w:rsidRPr="002650C9" w:rsidRDefault="00416EDC" w:rsidP="00416EDC">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416EDC" w:rsidRPr="002650C9" w:rsidRDefault="00416EDC" w:rsidP="00416EDC">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416EDC" w:rsidRPr="002650C9" w:rsidRDefault="00416EDC" w:rsidP="00416EDC">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416EDC" w:rsidRPr="002650C9" w:rsidRDefault="00416EDC" w:rsidP="00416EDC">
      <w:pPr>
        <w:ind w:left="360"/>
        <w:rPr>
          <w:sz w:val="22"/>
          <w:szCs w:val="22"/>
        </w:rPr>
      </w:pPr>
    </w:p>
    <w:p w:rsidR="00416EDC" w:rsidRPr="002650C9" w:rsidRDefault="00416EDC" w:rsidP="00416EDC">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416EDC" w:rsidRPr="002650C9" w:rsidRDefault="00416EDC" w:rsidP="00416EDC">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416EDC" w:rsidRPr="002650C9" w:rsidRDefault="00416EDC" w:rsidP="00416EDC">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416EDC" w:rsidRPr="002650C9" w:rsidRDefault="00416EDC" w:rsidP="00416EDC">
      <w:pPr>
        <w:ind w:left="360"/>
        <w:rPr>
          <w:sz w:val="22"/>
          <w:szCs w:val="22"/>
        </w:rPr>
      </w:pPr>
      <w:r w:rsidRPr="002650C9">
        <w:rPr>
          <w:sz w:val="22"/>
          <w:szCs w:val="22"/>
        </w:rPr>
        <w:t xml:space="preserve"> </w:t>
      </w:r>
    </w:p>
    <w:p w:rsidR="00416EDC" w:rsidRPr="002650C9" w:rsidRDefault="00416EDC" w:rsidP="00416EDC">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650C9">
        <w:rPr>
          <w:b/>
          <w:sz w:val="22"/>
          <w:szCs w:val="22"/>
          <w:u w:val="single"/>
        </w:rPr>
        <w:t>by itself or by relation, membership, association, affiliation, or controlling interest with another blacklisted person or entity as defined and provided for in the Uniform Guidelines on Blacklisting;</w:t>
      </w:r>
    </w:p>
    <w:p w:rsidR="00416EDC" w:rsidRPr="002650C9" w:rsidRDefault="00416EDC" w:rsidP="00416EDC">
      <w:pPr>
        <w:ind w:left="360"/>
        <w:rPr>
          <w:sz w:val="22"/>
          <w:szCs w:val="22"/>
        </w:rPr>
      </w:pPr>
      <w:r w:rsidRPr="002650C9">
        <w:rPr>
          <w:sz w:val="22"/>
          <w:szCs w:val="22"/>
        </w:rPr>
        <w:t xml:space="preserve"> </w:t>
      </w:r>
    </w:p>
    <w:p w:rsidR="00416EDC" w:rsidRPr="002650C9" w:rsidRDefault="00416EDC" w:rsidP="00416EDC">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416EDC" w:rsidRPr="002650C9" w:rsidRDefault="00416EDC" w:rsidP="00416EDC">
      <w:pPr>
        <w:widowControl w:val="0"/>
        <w:overflowPunct/>
        <w:adjustRightInd/>
        <w:spacing w:line="240" w:lineRule="auto"/>
        <w:ind w:left="360"/>
        <w:textAlignment w:val="auto"/>
        <w:rPr>
          <w:sz w:val="22"/>
          <w:szCs w:val="22"/>
        </w:rPr>
      </w:pPr>
    </w:p>
    <w:p w:rsidR="00416EDC" w:rsidRPr="002650C9" w:rsidRDefault="00416EDC" w:rsidP="00416EDC">
      <w:pPr>
        <w:ind w:left="360"/>
        <w:rPr>
          <w:sz w:val="22"/>
          <w:szCs w:val="22"/>
        </w:rPr>
      </w:pPr>
      <w:r w:rsidRPr="002650C9">
        <w:rPr>
          <w:sz w:val="22"/>
          <w:szCs w:val="22"/>
        </w:rPr>
        <w:t xml:space="preserve"> </w:t>
      </w:r>
    </w:p>
    <w:p w:rsidR="00416EDC" w:rsidRPr="002650C9" w:rsidRDefault="00416EDC" w:rsidP="00416EDC">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416EDC" w:rsidRPr="002650C9" w:rsidRDefault="00416EDC" w:rsidP="00416EDC">
      <w:pPr>
        <w:rPr>
          <w:b/>
          <w:sz w:val="22"/>
          <w:szCs w:val="22"/>
          <w:u w:val="single"/>
        </w:rPr>
      </w:pPr>
    </w:p>
    <w:p w:rsidR="00416EDC" w:rsidRPr="002650C9" w:rsidRDefault="00416EDC" w:rsidP="00416EDC">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416EDC" w:rsidRPr="002650C9" w:rsidRDefault="00416EDC" w:rsidP="00416EDC">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416EDC" w:rsidRPr="002650C9" w:rsidRDefault="00416EDC" w:rsidP="00416EDC">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416EDC" w:rsidRPr="002650C9" w:rsidRDefault="00416EDC" w:rsidP="00416EDC">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416EDC" w:rsidRPr="002650C9" w:rsidRDefault="00416EDC" w:rsidP="00416EDC">
      <w:pPr>
        <w:ind w:left="360"/>
        <w:rPr>
          <w:sz w:val="22"/>
          <w:szCs w:val="22"/>
        </w:rPr>
      </w:pPr>
    </w:p>
    <w:p w:rsidR="00416EDC" w:rsidRPr="002650C9" w:rsidRDefault="00416EDC" w:rsidP="00416EDC">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416EDC" w:rsidRPr="002650C9" w:rsidRDefault="00416EDC" w:rsidP="00416EDC">
      <w:pPr>
        <w:ind w:left="360"/>
        <w:rPr>
          <w:sz w:val="22"/>
          <w:szCs w:val="22"/>
        </w:rPr>
      </w:pPr>
      <w:r w:rsidRPr="002650C9">
        <w:rPr>
          <w:sz w:val="22"/>
          <w:szCs w:val="22"/>
        </w:rPr>
        <w:t xml:space="preserve"> </w:t>
      </w:r>
    </w:p>
    <w:p w:rsidR="00416EDC" w:rsidRPr="002650C9" w:rsidRDefault="00416EDC" w:rsidP="00416EDC">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416EDC" w:rsidRPr="002650C9" w:rsidRDefault="00416EDC" w:rsidP="00416EDC">
      <w:pPr>
        <w:ind w:left="360"/>
        <w:rPr>
          <w:sz w:val="22"/>
          <w:szCs w:val="22"/>
        </w:rPr>
      </w:pPr>
    </w:p>
    <w:p w:rsidR="00416EDC" w:rsidRPr="002650C9" w:rsidRDefault="00416EDC" w:rsidP="00416EDC">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416EDC" w:rsidRPr="002650C9" w:rsidRDefault="00416EDC" w:rsidP="00416EDC">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416EDC" w:rsidRPr="002650C9" w:rsidRDefault="00416EDC" w:rsidP="00416EDC">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416EDC" w:rsidRPr="002650C9" w:rsidRDefault="00416EDC" w:rsidP="00416EDC">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416EDC" w:rsidRPr="002650C9" w:rsidRDefault="00416EDC" w:rsidP="00416EDC">
      <w:pPr>
        <w:ind w:left="360"/>
        <w:rPr>
          <w:sz w:val="22"/>
          <w:szCs w:val="22"/>
        </w:rPr>
      </w:pPr>
      <w:r w:rsidRPr="002650C9">
        <w:rPr>
          <w:sz w:val="22"/>
          <w:szCs w:val="22"/>
        </w:rPr>
        <w:t xml:space="preserve"> </w:t>
      </w:r>
    </w:p>
    <w:p w:rsidR="00416EDC" w:rsidRPr="002650C9" w:rsidRDefault="00416EDC" w:rsidP="00416EDC">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416EDC" w:rsidRPr="002650C9" w:rsidRDefault="00416EDC" w:rsidP="00416EDC">
      <w:pPr>
        <w:ind w:left="720"/>
        <w:rPr>
          <w:sz w:val="22"/>
          <w:szCs w:val="22"/>
        </w:rPr>
      </w:pPr>
    </w:p>
    <w:p w:rsidR="00416EDC" w:rsidRPr="002650C9" w:rsidRDefault="00416EDC" w:rsidP="00416EDC">
      <w:pPr>
        <w:widowControl w:val="0"/>
        <w:numPr>
          <w:ilvl w:val="0"/>
          <w:numId w:val="30"/>
        </w:numPr>
        <w:overflowPunct/>
        <w:adjustRightInd/>
        <w:spacing w:line="240" w:lineRule="auto"/>
        <w:ind w:left="360"/>
        <w:textAlignment w:val="auto"/>
        <w:rPr>
          <w:b/>
          <w:sz w:val="22"/>
          <w:szCs w:val="22"/>
        </w:rPr>
      </w:pPr>
      <w:r w:rsidRPr="002650C9">
        <w:rPr>
          <w:b/>
          <w:sz w:val="22"/>
          <w:szCs w:val="22"/>
          <w:u w:val="single"/>
        </w:rPr>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416EDC" w:rsidRPr="002650C9" w:rsidRDefault="00416EDC" w:rsidP="00416EDC">
      <w:pPr>
        <w:pStyle w:val="ListParagraph"/>
        <w:rPr>
          <w:b/>
          <w:sz w:val="22"/>
          <w:szCs w:val="22"/>
        </w:rPr>
      </w:pPr>
    </w:p>
    <w:p w:rsidR="00416EDC" w:rsidRPr="002650C9" w:rsidRDefault="00416EDC" w:rsidP="00416EDC">
      <w:pPr>
        <w:widowControl w:val="0"/>
        <w:overflowPunct/>
        <w:adjustRightInd/>
        <w:spacing w:line="240" w:lineRule="auto"/>
        <w:ind w:left="360"/>
        <w:textAlignment w:val="auto"/>
        <w:rPr>
          <w:b/>
          <w:sz w:val="22"/>
          <w:szCs w:val="22"/>
        </w:rPr>
      </w:pPr>
    </w:p>
    <w:p w:rsidR="00416EDC" w:rsidRPr="002650C9" w:rsidRDefault="00416EDC" w:rsidP="00416EDC">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416EDC" w:rsidRPr="002650C9" w:rsidRDefault="00416EDC" w:rsidP="00416EDC">
      <w:pPr>
        <w:spacing w:before="240"/>
        <w:ind w:left="3960"/>
        <w:jc w:val="center"/>
        <w:rPr>
          <w:i/>
          <w:sz w:val="22"/>
          <w:szCs w:val="22"/>
        </w:rPr>
      </w:pPr>
      <w:r w:rsidRPr="002650C9">
        <w:rPr>
          <w:i/>
          <w:sz w:val="22"/>
          <w:szCs w:val="22"/>
        </w:rPr>
        <w:t>[Insert NAME OF BIDDER OR ITS AUTHORIZED REPRESENTATIVE]</w:t>
      </w:r>
    </w:p>
    <w:p w:rsidR="00416EDC" w:rsidRPr="002650C9" w:rsidRDefault="00416EDC" w:rsidP="00416EDC">
      <w:pPr>
        <w:ind w:left="4770"/>
        <w:rPr>
          <w:i/>
          <w:sz w:val="22"/>
          <w:szCs w:val="22"/>
        </w:rPr>
      </w:pPr>
      <w:r w:rsidRPr="002650C9">
        <w:rPr>
          <w:i/>
          <w:sz w:val="22"/>
          <w:szCs w:val="22"/>
        </w:rPr>
        <w:t>[Insert signatory’s legal capacity]</w:t>
      </w:r>
    </w:p>
    <w:p w:rsidR="00416EDC" w:rsidRPr="002650C9" w:rsidRDefault="00416EDC" w:rsidP="00416EDC">
      <w:pPr>
        <w:ind w:left="4770"/>
        <w:rPr>
          <w:sz w:val="22"/>
          <w:szCs w:val="22"/>
        </w:rPr>
      </w:pPr>
      <w:r w:rsidRPr="002650C9">
        <w:rPr>
          <w:sz w:val="22"/>
          <w:szCs w:val="22"/>
        </w:rPr>
        <w:t xml:space="preserve">                      Affiant</w:t>
      </w:r>
    </w:p>
    <w:p w:rsidR="00416EDC" w:rsidRPr="002650C9" w:rsidRDefault="00416EDC" w:rsidP="00416EDC">
      <w:pPr>
        <w:jc w:val="center"/>
        <w:rPr>
          <w:b/>
          <w:sz w:val="22"/>
          <w:szCs w:val="22"/>
        </w:rPr>
      </w:pPr>
    </w:p>
    <w:p w:rsidR="00416EDC" w:rsidRPr="002650C9" w:rsidRDefault="00416EDC" w:rsidP="00416EDC">
      <w:pPr>
        <w:jc w:val="center"/>
        <w:rPr>
          <w:b/>
          <w:sz w:val="22"/>
          <w:szCs w:val="22"/>
        </w:rPr>
      </w:pPr>
    </w:p>
    <w:p w:rsidR="00416EDC" w:rsidRPr="002650C9" w:rsidRDefault="00416EDC" w:rsidP="00416EDC">
      <w:pPr>
        <w:jc w:val="center"/>
        <w:rPr>
          <w:b/>
          <w:i/>
          <w:sz w:val="22"/>
          <w:szCs w:val="22"/>
        </w:rPr>
      </w:pPr>
      <w:r w:rsidRPr="002650C9">
        <w:rPr>
          <w:b/>
          <w:i/>
          <w:sz w:val="22"/>
          <w:szCs w:val="22"/>
          <w:u w:val="single"/>
        </w:rPr>
        <w:t>[Jurat]</w:t>
      </w:r>
    </w:p>
    <w:p w:rsidR="007E480E" w:rsidRPr="001E315C" w:rsidRDefault="00416EDC" w:rsidP="00416EDC">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1"/>
      <w:headerReference w:type="default" r:id="rId62"/>
      <w:headerReference w:type="first" r:id="rId63"/>
      <w:pgSz w:w="11909" w:h="16834" w:code="9"/>
      <w:pgMar w:top="1440" w:right="1440" w:bottom="1440" w:left="144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55C" w:rsidRDefault="00F2455C">
      <w:pPr>
        <w:spacing w:line="240" w:lineRule="auto"/>
      </w:pPr>
      <w:r>
        <w:separator/>
      </w:r>
    </w:p>
  </w:endnote>
  <w:endnote w:type="continuationSeparator" w:id="0">
    <w:p w:rsidR="00F2455C" w:rsidRDefault="00F2455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Pr="003A4391" w:rsidRDefault="005330BA"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1</w:t>
    </w:r>
    <w:r w:rsidRPr="003A4391">
      <w:rPr>
        <w:sz w:val="20"/>
      </w:rPr>
      <w:fldChar w:fldCharType="end"/>
    </w:r>
  </w:p>
  <w:p w:rsidR="005330BA" w:rsidRPr="00B673DC" w:rsidRDefault="005330BA" w:rsidP="00153E59"/>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Pr="003A4391" w:rsidRDefault="005330BA"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70</w:t>
    </w:r>
    <w:r w:rsidRPr="003A4391">
      <w:rPr>
        <w:sz w:val="20"/>
      </w:rPr>
      <w:fldChar w:fldCharType="end"/>
    </w:r>
  </w:p>
  <w:p w:rsidR="005330BA" w:rsidRPr="00B673DC" w:rsidRDefault="005330BA" w:rsidP="00153E59"/>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Pr="003A4391" w:rsidRDefault="005330BA"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72</w:t>
    </w:r>
    <w:r w:rsidRPr="003A4391">
      <w:rPr>
        <w:sz w:val="20"/>
      </w:rPr>
      <w:fldChar w:fldCharType="end"/>
    </w:r>
  </w:p>
  <w:p w:rsidR="005330BA" w:rsidRPr="00B673DC" w:rsidRDefault="005330BA" w:rsidP="00153E59">
    <w:pPr>
      <w:jc w:val="cen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4404344"/>
      <w:docPartObj>
        <w:docPartGallery w:val="Page Numbers (Bottom of Page)"/>
        <w:docPartUnique/>
      </w:docPartObj>
    </w:sdtPr>
    <w:sdtEndPr>
      <w:rPr>
        <w:noProof/>
      </w:rPr>
    </w:sdtEndPr>
    <w:sdtContent>
      <w:p w:rsidR="005330BA" w:rsidRDefault="005330BA">
        <w:pPr>
          <w:pStyle w:val="Footer"/>
          <w:jc w:val="center"/>
        </w:pPr>
        <w:fldSimple w:instr=" PAGE   \* MERGEFORMAT ">
          <w:r>
            <w:rPr>
              <w:noProof/>
            </w:rPr>
            <w:t>74</w:t>
          </w:r>
        </w:fldSimple>
      </w:p>
    </w:sdtContent>
  </w:sdt>
  <w:p w:rsidR="005330BA" w:rsidRDefault="005330BA" w:rsidP="00C4436C">
    <w:pPr>
      <w:jc w:val="cen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1585734"/>
      <w:docPartObj>
        <w:docPartGallery w:val="Page Numbers (Bottom of Page)"/>
        <w:docPartUnique/>
      </w:docPartObj>
    </w:sdtPr>
    <w:sdtEndPr>
      <w:rPr>
        <w:noProof/>
      </w:rPr>
    </w:sdtEndPr>
    <w:sdtContent>
      <w:p w:rsidR="005330BA" w:rsidRDefault="005330BA">
        <w:pPr>
          <w:pStyle w:val="Footer"/>
          <w:jc w:val="center"/>
        </w:pPr>
        <w:fldSimple w:instr=" PAGE   \* MERGEFORMAT ">
          <w:r>
            <w:rPr>
              <w:noProof/>
            </w:rPr>
            <w:t>77</w:t>
          </w:r>
        </w:fldSimple>
      </w:p>
    </w:sdtContent>
  </w:sdt>
  <w:p w:rsidR="005330BA" w:rsidRPr="005D16F2" w:rsidRDefault="005330BA" w:rsidP="005D16F2">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6577075"/>
      <w:docPartObj>
        <w:docPartGallery w:val="Page Numbers (Bottom of Page)"/>
        <w:docPartUnique/>
      </w:docPartObj>
    </w:sdtPr>
    <w:sdtEndPr>
      <w:rPr>
        <w:noProof/>
      </w:rPr>
    </w:sdtEndPr>
    <w:sdtContent>
      <w:p w:rsidR="005330BA" w:rsidRDefault="005330BA">
        <w:pPr>
          <w:pStyle w:val="Footer"/>
          <w:jc w:val="center"/>
        </w:pPr>
        <w:fldSimple w:instr=" PAGE   \* MERGEFORMAT ">
          <w:r>
            <w:rPr>
              <w:noProof/>
            </w:rPr>
            <w:t>80</w:t>
          </w:r>
        </w:fldSimple>
      </w:p>
    </w:sdtContent>
  </w:sdt>
  <w:p w:rsidR="005330BA" w:rsidRPr="00B673DC" w:rsidRDefault="005330BA" w:rsidP="00153E59"/>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333556"/>
      <w:docPartObj>
        <w:docPartGallery w:val="Page Numbers (Bottom of Page)"/>
        <w:docPartUnique/>
      </w:docPartObj>
    </w:sdtPr>
    <w:sdtEndPr>
      <w:rPr>
        <w:noProof/>
      </w:rPr>
    </w:sdtEndPr>
    <w:sdtContent>
      <w:p w:rsidR="005330BA" w:rsidRDefault="005330BA">
        <w:pPr>
          <w:pStyle w:val="Footer"/>
          <w:jc w:val="center"/>
        </w:pPr>
        <w:fldSimple w:instr=" PAGE   \* MERGEFORMAT ">
          <w:r>
            <w:rPr>
              <w:noProof/>
            </w:rPr>
            <w:t>83</w:t>
          </w:r>
        </w:fldSimple>
      </w:p>
    </w:sdtContent>
  </w:sdt>
  <w:p w:rsidR="005330BA" w:rsidRPr="00364B0E" w:rsidRDefault="005330BA" w:rsidP="00262ACC">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3063666"/>
      <w:docPartObj>
        <w:docPartGallery w:val="Page Numbers (Bottom of Page)"/>
        <w:docPartUnique/>
      </w:docPartObj>
    </w:sdtPr>
    <w:sdtEndPr>
      <w:rPr>
        <w:noProof/>
      </w:rPr>
    </w:sdtEndPr>
    <w:sdtContent>
      <w:p w:rsidR="005330BA" w:rsidRDefault="005330BA">
        <w:pPr>
          <w:pStyle w:val="Footer"/>
          <w:jc w:val="center"/>
        </w:pPr>
        <w:fldSimple w:instr=" PAGE   \* MERGEFORMAT ">
          <w:r w:rsidR="00B17D53">
            <w:rPr>
              <w:noProof/>
            </w:rPr>
            <w:t>89</w:t>
          </w:r>
        </w:fldSimple>
      </w:p>
    </w:sdtContent>
  </w:sdt>
  <w:p w:rsidR="005330BA" w:rsidRPr="00AC1AFC" w:rsidRDefault="005330BA" w:rsidP="00AC1A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Default="005330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Pr="003A4391" w:rsidRDefault="005330BA"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4</w:t>
    </w:r>
    <w:r w:rsidRPr="003A4391">
      <w:rPr>
        <w:sz w:val="20"/>
      </w:rPr>
      <w:fldChar w:fldCharType="end"/>
    </w:r>
  </w:p>
  <w:p w:rsidR="005330BA" w:rsidRPr="00B673DC" w:rsidRDefault="005330BA" w:rsidP="00153E5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Default="005330BA">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Pr="003A4391" w:rsidRDefault="005330BA"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5</w:t>
    </w:r>
    <w:r w:rsidRPr="003A4391">
      <w:rPr>
        <w:sz w:val="20"/>
      </w:rPr>
      <w:fldChar w:fldCharType="end"/>
    </w:r>
  </w:p>
  <w:p w:rsidR="005330BA" w:rsidRPr="00B673DC" w:rsidRDefault="005330BA" w:rsidP="00153E5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Pr="00C741FC" w:rsidRDefault="005330BA"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Pr>
        <w:rStyle w:val="PageNumber"/>
        <w:noProof/>
        <w:sz w:val="20"/>
      </w:rPr>
      <w:t>33</w:t>
    </w:r>
    <w:r w:rsidRPr="00C741FC">
      <w:rPr>
        <w:rStyle w:val="PageNumbe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Pr="003A4391" w:rsidRDefault="005330BA"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36</w:t>
    </w:r>
    <w:r w:rsidRPr="003A4391">
      <w:rPr>
        <w:sz w:val="20"/>
      </w:rPr>
      <w:fldChar w:fldCharType="end"/>
    </w:r>
  </w:p>
  <w:p w:rsidR="005330BA" w:rsidRPr="00B673DC" w:rsidRDefault="005330BA" w:rsidP="00153E59"/>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Pr="003A4391" w:rsidRDefault="005330BA"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39</w:t>
    </w:r>
    <w:r w:rsidRPr="003A4391">
      <w:rPr>
        <w:sz w:val="20"/>
      </w:rPr>
      <w:fldChar w:fldCharType="end"/>
    </w:r>
  </w:p>
  <w:p w:rsidR="005330BA" w:rsidRPr="00B673DC" w:rsidRDefault="005330BA" w:rsidP="00153E59"/>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Pr="003A4391" w:rsidRDefault="005330BA"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69</w:t>
    </w:r>
    <w:r w:rsidRPr="003A4391">
      <w:rPr>
        <w:sz w:val="20"/>
      </w:rPr>
      <w:fldChar w:fldCharType="end"/>
    </w:r>
  </w:p>
  <w:p w:rsidR="005330BA" w:rsidRPr="00B673DC" w:rsidRDefault="005330BA" w:rsidP="00153E59"/>
  <w:p w:rsidR="005330BA" w:rsidRDefault="005330B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55C" w:rsidRDefault="00F2455C">
      <w:pPr>
        <w:spacing w:line="240" w:lineRule="auto"/>
      </w:pPr>
      <w:r>
        <w:separator/>
      </w:r>
    </w:p>
  </w:footnote>
  <w:footnote w:type="continuationSeparator" w:id="0">
    <w:p w:rsidR="00F2455C" w:rsidRDefault="00F2455C">
      <w:pPr>
        <w:spacing w:line="240" w:lineRule="auto"/>
      </w:pPr>
      <w:r>
        <w:continuationSeparator/>
      </w:r>
    </w:p>
  </w:footnote>
  <w:footnote w:id="1">
    <w:p w:rsidR="005330BA" w:rsidRPr="00E52CD3" w:rsidRDefault="005330BA" w:rsidP="00396A7A">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Default="005330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Default="005330BA">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Default="005330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Default="005330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Default="005330BA">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Default="005330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Default="005330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Default="005330BA">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Default="005330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Default="005330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5330BA" w:rsidRDefault="005330BA"/>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Default="005330BA">
    <w:pPr>
      <w:pStyle w:val="Header"/>
    </w:pPr>
  </w:p>
  <w:p w:rsidR="005330BA" w:rsidRDefault="005330B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Default="005330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Default="005330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5330BA" w:rsidRDefault="005330BA"/>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Default="005330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Default="005330BA">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Default="005330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Default="005330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Default="005330BA">
    <w:pPr>
      <w:pStyle w:val="Heade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Default="005330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Default="005330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Default="005330BA">
    <w:pPr>
      <w:pStyle w:val="Heade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Default="005330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Default="005330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Default="005330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Default="005330BA">
    <w:pPr>
      <w:pStyle w:val="Heade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Default="005330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Default="005330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Default="005330BA">
    <w:pPr>
      <w:pStyle w:val="Heade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Default="005330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Default="005330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Default="005330BA">
    <w:pPr>
      <w:pStyle w:val="Heade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Default="005330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Default="005330BA">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Default="005330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Default="005330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Default="005330BA">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Default="005330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BA" w:rsidRDefault="005330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CD2C9F18"/>
    <w:lvl w:ilvl="0" w:tplc="D400AE0E">
      <w:start w:val="1"/>
      <w:numFmt w:val="lowerLetter"/>
      <w:lvlText w:val="(%1)"/>
      <w:lvlJc w:val="left"/>
      <w:pPr>
        <w:tabs>
          <w:tab w:val="num" w:pos="1440"/>
        </w:tabs>
        <w:ind w:left="1440" w:hanging="720"/>
      </w:pPr>
      <w:rPr>
        <w:rFonts w:hint="default"/>
      </w:rPr>
    </w:lvl>
    <w:lvl w:ilvl="1" w:tplc="C3C03170" w:tentative="1">
      <w:start w:val="1"/>
      <w:numFmt w:val="lowerLetter"/>
      <w:lvlText w:val="%2."/>
      <w:lvlJc w:val="left"/>
      <w:pPr>
        <w:tabs>
          <w:tab w:val="num" w:pos="1800"/>
        </w:tabs>
        <w:ind w:left="1800" w:hanging="360"/>
      </w:pPr>
    </w:lvl>
    <w:lvl w:ilvl="2" w:tplc="F9028EFA" w:tentative="1">
      <w:start w:val="1"/>
      <w:numFmt w:val="lowerRoman"/>
      <w:lvlText w:val="%3."/>
      <w:lvlJc w:val="right"/>
      <w:pPr>
        <w:tabs>
          <w:tab w:val="num" w:pos="2520"/>
        </w:tabs>
        <w:ind w:left="2520" w:hanging="180"/>
      </w:p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3">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2"/>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0"/>
  </w:num>
  <w:num w:numId="20">
    <w:abstractNumId w:val="10"/>
  </w:num>
  <w:num w:numId="21">
    <w:abstractNumId w:val="31"/>
  </w:num>
  <w:num w:numId="22">
    <w:abstractNumId w:val="5"/>
  </w:num>
  <w:num w:numId="23">
    <w:abstractNumId w:val="15"/>
  </w:num>
  <w:num w:numId="24">
    <w:abstractNumId w:val="29"/>
  </w:num>
  <w:num w:numId="25">
    <w:abstractNumId w:val="12"/>
  </w:num>
  <w:num w:numId="26">
    <w:abstractNumId w:val="14"/>
  </w:num>
  <w:num w:numId="27">
    <w:abstractNumId w:val="6"/>
  </w:num>
  <w:num w:numId="28">
    <w:abstractNumId w:val="18"/>
  </w:num>
  <w:num w:numId="29">
    <w:abstractNumId w:val="33"/>
  </w:num>
  <w:num w:numId="30">
    <w:abstractNumId w:val="25"/>
  </w:num>
  <w:num w:numId="31">
    <w:abstractNumId w:val="35"/>
  </w:num>
  <w:num w:numId="32">
    <w:abstractNumId w:val="24"/>
  </w:num>
  <w:num w:numId="33">
    <w:abstractNumId w:val="23"/>
  </w:num>
  <w:num w:numId="34">
    <w:abstractNumId w:val="26"/>
  </w:num>
  <w:num w:numId="35">
    <w:abstractNumId w:val="0"/>
  </w:num>
  <w:num w:numId="36">
    <w:abstractNumId w:val="34"/>
  </w:num>
  <w:num w:numId="37">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F309BD"/>
    <w:rsid w:val="000006C2"/>
    <w:rsid w:val="0000089E"/>
    <w:rsid w:val="000014EC"/>
    <w:rsid w:val="000048C5"/>
    <w:rsid w:val="00005D04"/>
    <w:rsid w:val="00006F49"/>
    <w:rsid w:val="0001104F"/>
    <w:rsid w:val="0001310E"/>
    <w:rsid w:val="0001514E"/>
    <w:rsid w:val="00015DC2"/>
    <w:rsid w:val="00017F36"/>
    <w:rsid w:val="000208C7"/>
    <w:rsid w:val="00025F36"/>
    <w:rsid w:val="0002681C"/>
    <w:rsid w:val="000275D1"/>
    <w:rsid w:val="00030EA4"/>
    <w:rsid w:val="000331FF"/>
    <w:rsid w:val="000349C3"/>
    <w:rsid w:val="000365BF"/>
    <w:rsid w:val="0003720B"/>
    <w:rsid w:val="000372FC"/>
    <w:rsid w:val="0004116E"/>
    <w:rsid w:val="0004239B"/>
    <w:rsid w:val="000428F0"/>
    <w:rsid w:val="00042C28"/>
    <w:rsid w:val="0004368C"/>
    <w:rsid w:val="00046DAD"/>
    <w:rsid w:val="00047216"/>
    <w:rsid w:val="00047526"/>
    <w:rsid w:val="000518FD"/>
    <w:rsid w:val="00051DFB"/>
    <w:rsid w:val="00053955"/>
    <w:rsid w:val="00054F83"/>
    <w:rsid w:val="000577DD"/>
    <w:rsid w:val="00057F61"/>
    <w:rsid w:val="00060F1C"/>
    <w:rsid w:val="000637E8"/>
    <w:rsid w:val="00067E4A"/>
    <w:rsid w:val="00072F55"/>
    <w:rsid w:val="0007501C"/>
    <w:rsid w:val="000814E5"/>
    <w:rsid w:val="00082223"/>
    <w:rsid w:val="00082C0C"/>
    <w:rsid w:val="00085730"/>
    <w:rsid w:val="00086CC8"/>
    <w:rsid w:val="00090F92"/>
    <w:rsid w:val="000917FE"/>
    <w:rsid w:val="0009202F"/>
    <w:rsid w:val="0009731E"/>
    <w:rsid w:val="000A1945"/>
    <w:rsid w:val="000A4129"/>
    <w:rsid w:val="000B497E"/>
    <w:rsid w:val="000B5097"/>
    <w:rsid w:val="000B53B3"/>
    <w:rsid w:val="000B6BAD"/>
    <w:rsid w:val="000C6ABA"/>
    <w:rsid w:val="000D03CE"/>
    <w:rsid w:val="000D1760"/>
    <w:rsid w:val="000D4932"/>
    <w:rsid w:val="000D6053"/>
    <w:rsid w:val="000D6AFD"/>
    <w:rsid w:val="000D6B1C"/>
    <w:rsid w:val="000D737C"/>
    <w:rsid w:val="000D7AF3"/>
    <w:rsid w:val="000D7BA2"/>
    <w:rsid w:val="000E47DD"/>
    <w:rsid w:val="000E506E"/>
    <w:rsid w:val="000E5299"/>
    <w:rsid w:val="000F0574"/>
    <w:rsid w:val="000F06B3"/>
    <w:rsid w:val="000F0C5A"/>
    <w:rsid w:val="000F0CB9"/>
    <w:rsid w:val="000F1F5E"/>
    <w:rsid w:val="000F2A83"/>
    <w:rsid w:val="000F4F52"/>
    <w:rsid w:val="000F6543"/>
    <w:rsid w:val="000F69BE"/>
    <w:rsid w:val="000F724D"/>
    <w:rsid w:val="000F77BF"/>
    <w:rsid w:val="00100646"/>
    <w:rsid w:val="0010154A"/>
    <w:rsid w:val="00107D12"/>
    <w:rsid w:val="0011025D"/>
    <w:rsid w:val="0011307E"/>
    <w:rsid w:val="001156D0"/>
    <w:rsid w:val="001172A5"/>
    <w:rsid w:val="00117EA3"/>
    <w:rsid w:val="001227EE"/>
    <w:rsid w:val="00122D02"/>
    <w:rsid w:val="00124959"/>
    <w:rsid w:val="001258FB"/>
    <w:rsid w:val="00130DAA"/>
    <w:rsid w:val="00131428"/>
    <w:rsid w:val="00133516"/>
    <w:rsid w:val="00134CA5"/>
    <w:rsid w:val="00134CE6"/>
    <w:rsid w:val="00135749"/>
    <w:rsid w:val="00147023"/>
    <w:rsid w:val="001474D7"/>
    <w:rsid w:val="0015084F"/>
    <w:rsid w:val="00153E59"/>
    <w:rsid w:val="00154EB7"/>
    <w:rsid w:val="00156512"/>
    <w:rsid w:val="0016281C"/>
    <w:rsid w:val="00162A66"/>
    <w:rsid w:val="00164E22"/>
    <w:rsid w:val="0016613C"/>
    <w:rsid w:val="001668D1"/>
    <w:rsid w:val="001678B2"/>
    <w:rsid w:val="00170CE7"/>
    <w:rsid w:val="00172EBD"/>
    <w:rsid w:val="00173805"/>
    <w:rsid w:val="00173E27"/>
    <w:rsid w:val="00177EC7"/>
    <w:rsid w:val="001805E5"/>
    <w:rsid w:val="001812FB"/>
    <w:rsid w:val="00186524"/>
    <w:rsid w:val="00186EC9"/>
    <w:rsid w:val="0018721B"/>
    <w:rsid w:val="001920A6"/>
    <w:rsid w:val="001976D3"/>
    <w:rsid w:val="001A00BB"/>
    <w:rsid w:val="001A1965"/>
    <w:rsid w:val="001A1E27"/>
    <w:rsid w:val="001A29D8"/>
    <w:rsid w:val="001A3516"/>
    <w:rsid w:val="001A392F"/>
    <w:rsid w:val="001A3BEF"/>
    <w:rsid w:val="001A4066"/>
    <w:rsid w:val="001A5B9E"/>
    <w:rsid w:val="001B0E26"/>
    <w:rsid w:val="001B25B4"/>
    <w:rsid w:val="001B6B3C"/>
    <w:rsid w:val="001C10F2"/>
    <w:rsid w:val="001C1C24"/>
    <w:rsid w:val="001C33AB"/>
    <w:rsid w:val="001C3F52"/>
    <w:rsid w:val="001C41C2"/>
    <w:rsid w:val="001C4499"/>
    <w:rsid w:val="001C501A"/>
    <w:rsid w:val="001C660F"/>
    <w:rsid w:val="001D14AC"/>
    <w:rsid w:val="001E0F40"/>
    <w:rsid w:val="001E1B9A"/>
    <w:rsid w:val="001E1C9F"/>
    <w:rsid w:val="001E2B61"/>
    <w:rsid w:val="001E315C"/>
    <w:rsid w:val="001E7AE3"/>
    <w:rsid w:val="001F1E8B"/>
    <w:rsid w:val="001F233F"/>
    <w:rsid w:val="001F280D"/>
    <w:rsid w:val="001F3DC9"/>
    <w:rsid w:val="001F4E80"/>
    <w:rsid w:val="002036A1"/>
    <w:rsid w:val="00203F9F"/>
    <w:rsid w:val="0020779C"/>
    <w:rsid w:val="00214866"/>
    <w:rsid w:val="0021619A"/>
    <w:rsid w:val="00216580"/>
    <w:rsid w:val="0021658D"/>
    <w:rsid w:val="00217814"/>
    <w:rsid w:val="002204E3"/>
    <w:rsid w:val="00224C55"/>
    <w:rsid w:val="00225300"/>
    <w:rsid w:val="00226498"/>
    <w:rsid w:val="002275C6"/>
    <w:rsid w:val="002316D3"/>
    <w:rsid w:val="00231BB3"/>
    <w:rsid w:val="00231F3D"/>
    <w:rsid w:val="00233F00"/>
    <w:rsid w:val="002341CD"/>
    <w:rsid w:val="0023440E"/>
    <w:rsid w:val="00235119"/>
    <w:rsid w:val="002358A5"/>
    <w:rsid w:val="00235ACC"/>
    <w:rsid w:val="00240775"/>
    <w:rsid w:val="002432B6"/>
    <w:rsid w:val="002441FD"/>
    <w:rsid w:val="00244205"/>
    <w:rsid w:val="002442A3"/>
    <w:rsid w:val="00245072"/>
    <w:rsid w:val="00246ACA"/>
    <w:rsid w:val="00250872"/>
    <w:rsid w:val="00251D12"/>
    <w:rsid w:val="00251EA2"/>
    <w:rsid w:val="002555CA"/>
    <w:rsid w:val="00255F0E"/>
    <w:rsid w:val="00260A32"/>
    <w:rsid w:val="00262ACC"/>
    <w:rsid w:val="00265909"/>
    <w:rsid w:val="00265B7A"/>
    <w:rsid w:val="002718C2"/>
    <w:rsid w:val="00272CD4"/>
    <w:rsid w:val="002750F4"/>
    <w:rsid w:val="00275E1B"/>
    <w:rsid w:val="00281AF6"/>
    <w:rsid w:val="00283EBC"/>
    <w:rsid w:val="002856FE"/>
    <w:rsid w:val="00286F8F"/>
    <w:rsid w:val="0029190F"/>
    <w:rsid w:val="00296527"/>
    <w:rsid w:val="002A2C93"/>
    <w:rsid w:val="002A421B"/>
    <w:rsid w:val="002A4836"/>
    <w:rsid w:val="002B01B9"/>
    <w:rsid w:val="002B47E8"/>
    <w:rsid w:val="002B5654"/>
    <w:rsid w:val="002B6870"/>
    <w:rsid w:val="002C3884"/>
    <w:rsid w:val="002C4E4C"/>
    <w:rsid w:val="002C52D7"/>
    <w:rsid w:val="002C5848"/>
    <w:rsid w:val="002C5E32"/>
    <w:rsid w:val="002C6E73"/>
    <w:rsid w:val="002D07FC"/>
    <w:rsid w:val="002D099D"/>
    <w:rsid w:val="002D352A"/>
    <w:rsid w:val="002D4FF4"/>
    <w:rsid w:val="002E0DFC"/>
    <w:rsid w:val="002E3908"/>
    <w:rsid w:val="002E708C"/>
    <w:rsid w:val="002F0A6B"/>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7119"/>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50E6C"/>
    <w:rsid w:val="003510B9"/>
    <w:rsid w:val="003519A1"/>
    <w:rsid w:val="00351F2A"/>
    <w:rsid w:val="003565B1"/>
    <w:rsid w:val="00356C34"/>
    <w:rsid w:val="003609CA"/>
    <w:rsid w:val="00360D5D"/>
    <w:rsid w:val="003612EC"/>
    <w:rsid w:val="003618FC"/>
    <w:rsid w:val="0036362F"/>
    <w:rsid w:val="003643E4"/>
    <w:rsid w:val="00366876"/>
    <w:rsid w:val="00367655"/>
    <w:rsid w:val="00370F01"/>
    <w:rsid w:val="0037287F"/>
    <w:rsid w:val="003732CE"/>
    <w:rsid w:val="00375EAD"/>
    <w:rsid w:val="003802BD"/>
    <w:rsid w:val="00380729"/>
    <w:rsid w:val="0038287B"/>
    <w:rsid w:val="00384CD4"/>
    <w:rsid w:val="00386153"/>
    <w:rsid w:val="003865B3"/>
    <w:rsid w:val="00387F86"/>
    <w:rsid w:val="0039082D"/>
    <w:rsid w:val="00394423"/>
    <w:rsid w:val="00396A7A"/>
    <w:rsid w:val="003A04E6"/>
    <w:rsid w:val="003A0903"/>
    <w:rsid w:val="003A1BE4"/>
    <w:rsid w:val="003A266A"/>
    <w:rsid w:val="003A31F0"/>
    <w:rsid w:val="003A6FC0"/>
    <w:rsid w:val="003B0263"/>
    <w:rsid w:val="003B3D45"/>
    <w:rsid w:val="003B465D"/>
    <w:rsid w:val="003B625E"/>
    <w:rsid w:val="003C18F8"/>
    <w:rsid w:val="003C4D7A"/>
    <w:rsid w:val="003D05F0"/>
    <w:rsid w:val="003D10FD"/>
    <w:rsid w:val="003D181E"/>
    <w:rsid w:val="003D2A6B"/>
    <w:rsid w:val="003D2E5D"/>
    <w:rsid w:val="003D6F64"/>
    <w:rsid w:val="003D79F9"/>
    <w:rsid w:val="003E05B7"/>
    <w:rsid w:val="003E0A9A"/>
    <w:rsid w:val="003E2145"/>
    <w:rsid w:val="003E2386"/>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5FF1"/>
    <w:rsid w:val="00416EDC"/>
    <w:rsid w:val="004207C6"/>
    <w:rsid w:val="00421C8E"/>
    <w:rsid w:val="00423FD3"/>
    <w:rsid w:val="00424E74"/>
    <w:rsid w:val="004259EF"/>
    <w:rsid w:val="00426777"/>
    <w:rsid w:val="0042692F"/>
    <w:rsid w:val="00426C3A"/>
    <w:rsid w:val="00430069"/>
    <w:rsid w:val="004301D2"/>
    <w:rsid w:val="004330A9"/>
    <w:rsid w:val="004342D1"/>
    <w:rsid w:val="004375F7"/>
    <w:rsid w:val="00442896"/>
    <w:rsid w:val="00442D26"/>
    <w:rsid w:val="004454FE"/>
    <w:rsid w:val="004458B3"/>
    <w:rsid w:val="00447B19"/>
    <w:rsid w:val="00451961"/>
    <w:rsid w:val="00452095"/>
    <w:rsid w:val="004524D7"/>
    <w:rsid w:val="00452614"/>
    <w:rsid w:val="004536AE"/>
    <w:rsid w:val="0045499D"/>
    <w:rsid w:val="00461194"/>
    <w:rsid w:val="00470479"/>
    <w:rsid w:val="00471F0A"/>
    <w:rsid w:val="00473F04"/>
    <w:rsid w:val="00474338"/>
    <w:rsid w:val="00475114"/>
    <w:rsid w:val="004764EB"/>
    <w:rsid w:val="00477F6B"/>
    <w:rsid w:val="00483487"/>
    <w:rsid w:val="0048400A"/>
    <w:rsid w:val="0048429A"/>
    <w:rsid w:val="004844BE"/>
    <w:rsid w:val="00484C30"/>
    <w:rsid w:val="00485890"/>
    <w:rsid w:val="00485D7C"/>
    <w:rsid w:val="0049111B"/>
    <w:rsid w:val="00491D24"/>
    <w:rsid w:val="004961E6"/>
    <w:rsid w:val="00496994"/>
    <w:rsid w:val="004A2F70"/>
    <w:rsid w:val="004A5461"/>
    <w:rsid w:val="004A7A4E"/>
    <w:rsid w:val="004B344C"/>
    <w:rsid w:val="004B4DB3"/>
    <w:rsid w:val="004B60F9"/>
    <w:rsid w:val="004B677C"/>
    <w:rsid w:val="004B77B1"/>
    <w:rsid w:val="004B77FE"/>
    <w:rsid w:val="004C0244"/>
    <w:rsid w:val="004C04D3"/>
    <w:rsid w:val="004C06AD"/>
    <w:rsid w:val="004C22F4"/>
    <w:rsid w:val="004C422D"/>
    <w:rsid w:val="004C619C"/>
    <w:rsid w:val="004C7D88"/>
    <w:rsid w:val="004D24A6"/>
    <w:rsid w:val="004D2872"/>
    <w:rsid w:val="004D4527"/>
    <w:rsid w:val="004D4FA4"/>
    <w:rsid w:val="004D7AEC"/>
    <w:rsid w:val="004E0389"/>
    <w:rsid w:val="004E08AC"/>
    <w:rsid w:val="004E28A0"/>
    <w:rsid w:val="004E2DE6"/>
    <w:rsid w:val="004E35D6"/>
    <w:rsid w:val="004E4039"/>
    <w:rsid w:val="004E4828"/>
    <w:rsid w:val="004E4BBA"/>
    <w:rsid w:val="004E6212"/>
    <w:rsid w:val="004E6A23"/>
    <w:rsid w:val="004E7CF9"/>
    <w:rsid w:val="004F2FD7"/>
    <w:rsid w:val="004F56A9"/>
    <w:rsid w:val="004F66C5"/>
    <w:rsid w:val="00500555"/>
    <w:rsid w:val="005029DA"/>
    <w:rsid w:val="00502B28"/>
    <w:rsid w:val="00502EDF"/>
    <w:rsid w:val="00504990"/>
    <w:rsid w:val="00504B27"/>
    <w:rsid w:val="00506D1A"/>
    <w:rsid w:val="005075AD"/>
    <w:rsid w:val="00510D46"/>
    <w:rsid w:val="00512E40"/>
    <w:rsid w:val="00514614"/>
    <w:rsid w:val="00514FE0"/>
    <w:rsid w:val="005159E4"/>
    <w:rsid w:val="00521C48"/>
    <w:rsid w:val="005246E1"/>
    <w:rsid w:val="00525A70"/>
    <w:rsid w:val="00526033"/>
    <w:rsid w:val="00526056"/>
    <w:rsid w:val="005269C4"/>
    <w:rsid w:val="005330BA"/>
    <w:rsid w:val="00534B94"/>
    <w:rsid w:val="00534D4A"/>
    <w:rsid w:val="00541400"/>
    <w:rsid w:val="00541675"/>
    <w:rsid w:val="00544077"/>
    <w:rsid w:val="00544D00"/>
    <w:rsid w:val="0054519B"/>
    <w:rsid w:val="00546942"/>
    <w:rsid w:val="00550924"/>
    <w:rsid w:val="005510FA"/>
    <w:rsid w:val="00551280"/>
    <w:rsid w:val="00551B5F"/>
    <w:rsid w:val="005533FC"/>
    <w:rsid w:val="005535BE"/>
    <w:rsid w:val="00553F50"/>
    <w:rsid w:val="00554206"/>
    <w:rsid w:val="005547E6"/>
    <w:rsid w:val="0055480D"/>
    <w:rsid w:val="005615AC"/>
    <w:rsid w:val="00563849"/>
    <w:rsid w:val="005654BC"/>
    <w:rsid w:val="00566313"/>
    <w:rsid w:val="00571B2A"/>
    <w:rsid w:val="00576C43"/>
    <w:rsid w:val="005808DE"/>
    <w:rsid w:val="00590FCA"/>
    <w:rsid w:val="0059107D"/>
    <w:rsid w:val="005919B0"/>
    <w:rsid w:val="0059315E"/>
    <w:rsid w:val="005964FE"/>
    <w:rsid w:val="0059698E"/>
    <w:rsid w:val="00597CD1"/>
    <w:rsid w:val="005A0637"/>
    <w:rsid w:val="005A279A"/>
    <w:rsid w:val="005A5618"/>
    <w:rsid w:val="005A561B"/>
    <w:rsid w:val="005A68CC"/>
    <w:rsid w:val="005B0596"/>
    <w:rsid w:val="005B1EDC"/>
    <w:rsid w:val="005B3819"/>
    <w:rsid w:val="005B5203"/>
    <w:rsid w:val="005B73A6"/>
    <w:rsid w:val="005B7968"/>
    <w:rsid w:val="005C0FBF"/>
    <w:rsid w:val="005C1AE0"/>
    <w:rsid w:val="005C28CB"/>
    <w:rsid w:val="005D0B7D"/>
    <w:rsid w:val="005D0FFE"/>
    <w:rsid w:val="005D16F2"/>
    <w:rsid w:val="005D1861"/>
    <w:rsid w:val="005D334C"/>
    <w:rsid w:val="005D5201"/>
    <w:rsid w:val="005D5312"/>
    <w:rsid w:val="005D68DE"/>
    <w:rsid w:val="005E2484"/>
    <w:rsid w:val="005E49B2"/>
    <w:rsid w:val="005E6B65"/>
    <w:rsid w:val="005E7550"/>
    <w:rsid w:val="005F1333"/>
    <w:rsid w:val="005F1B6B"/>
    <w:rsid w:val="005F2462"/>
    <w:rsid w:val="005F7084"/>
    <w:rsid w:val="00601276"/>
    <w:rsid w:val="00601D1D"/>
    <w:rsid w:val="0060218B"/>
    <w:rsid w:val="00602325"/>
    <w:rsid w:val="006024DE"/>
    <w:rsid w:val="00603326"/>
    <w:rsid w:val="00603B21"/>
    <w:rsid w:val="00604498"/>
    <w:rsid w:val="00604BEE"/>
    <w:rsid w:val="00604CCE"/>
    <w:rsid w:val="00606818"/>
    <w:rsid w:val="00606B2E"/>
    <w:rsid w:val="006076D6"/>
    <w:rsid w:val="0061189D"/>
    <w:rsid w:val="0061258C"/>
    <w:rsid w:val="00613671"/>
    <w:rsid w:val="00613EB2"/>
    <w:rsid w:val="006176E3"/>
    <w:rsid w:val="006217D1"/>
    <w:rsid w:val="006223CF"/>
    <w:rsid w:val="00623A85"/>
    <w:rsid w:val="00624FB8"/>
    <w:rsid w:val="00640305"/>
    <w:rsid w:val="0064467E"/>
    <w:rsid w:val="006450AE"/>
    <w:rsid w:val="006467C7"/>
    <w:rsid w:val="006474AE"/>
    <w:rsid w:val="00647B95"/>
    <w:rsid w:val="00654415"/>
    <w:rsid w:val="00655FFD"/>
    <w:rsid w:val="00661E0C"/>
    <w:rsid w:val="00662073"/>
    <w:rsid w:val="0066258D"/>
    <w:rsid w:val="00663785"/>
    <w:rsid w:val="00664966"/>
    <w:rsid w:val="006654FC"/>
    <w:rsid w:val="00666005"/>
    <w:rsid w:val="006668AF"/>
    <w:rsid w:val="006674BB"/>
    <w:rsid w:val="006737A5"/>
    <w:rsid w:val="006739B6"/>
    <w:rsid w:val="0067514F"/>
    <w:rsid w:val="006769E1"/>
    <w:rsid w:val="00677798"/>
    <w:rsid w:val="00680124"/>
    <w:rsid w:val="00680EBA"/>
    <w:rsid w:val="0068507F"/>
    <w:rsid w:val="006855B1"/>
    <w:rsid w:val="00685733"/>
    <w:rsid w:val="00685FD5"/>
    <w:rsid w:val="006939B4"/>
    <w:rsid w:val="00693B9A"/>
    <w:rsid w:val="0069782E"/>
    <w:rsid w:val="006A03AC"/>
    <w:rsid w:val="006A15E6"/>
    <w:rsid w:val="006A18C3"/>
    <w:rsid w:val="006A3F0B"/>
    <w:rsid w:val="006A5B18"/>
    <w:rsid w:val="006A7C8A"/>
    <w:rsid w:val="006B138F"/>
    <w:rsid w:val="006B1D0B"/>
    <w:rsid w:val="006B2766"/>
    <w:rsid w:val="006B4C94"/>
    <w:rsid w:val="006B7F1E"/>
    <w:rsid w:val="006C17F6"/>
    <w:rsid w:val="006C23F6"/>
    <w:rsid w:val="006C2D9A"/>
    <w:rsid w:val="006C46D0"/>
    <w:rsid w:val="006C6165"/>
    <w:rsid w:val="006C6CE1"/>
    <w:rsid w:val="006D0CA1"/>
    <w:rsid w:val="006D2A81"/>
    <w:rsid w:val="006D3DB7"/>
    <w:rsid w:val="006E1439"/>
    <w:rsid w:val="006E2A34"/>
    <w:rsid w:val="006E303E"/>
    <w:rsid w:val="006E4EC3"/>
    <w:rsid w:val="006E6C2A"/>
    <w:rsid w:val="006E7649"/>
    <w:rsid w:val="006F26BC"/>
    <w:rsid w:val="006F4796"/>
    <w:rsid w:val="006F5516"/>
    <w:rsid w:val="006F5F77"/>
    <w:rsid w:val="007010FE"/>
    <w:rsid w:val="007024F2"/>
    <w:rsid w:val="00702E17"/>
    <w:rsid w:val="00703128"/>
    <w:rsid w:val="00706DE1"/>
    <w:rsid w:val="00714054"/>
    <w:rsid w:val="007141F1"/>
    <w:rsid w:val="00717910"/>
    <w:rsid w:val="0072110E"/>
    <w:rsid w:val="007211A3"/>
    <w:rsid w:val="0072397D"/>
    <w:rsid w:val="00726469"/>
    <w:rsid w:val="007267C4"/>
    <w:rsid w:val="00726D85"/>
    <w:rsid w:val="00733B6D"/>
    <w:rsid w:val="00737B60"/>
    <w:rsid w:val="0074120D"/>
    <w:rsid w:val="0074316F"/>
    <w:rsid w:val="00743616"/>
    <w:rsid w:val="00743C40"/>
    <w:rsid w:val="00743D42"/>
    <w:rsid w:val="00744110"/>
    <w:rsid w:val="007444DF"/>
    <w:rsid w:val="0074583D"/>
    <w:rsid w:val="00745C3C"/>
    <w:rsid w:val="00745EC8"/>
    <w:rsid w:val="00750F8D"/>
    <w:rsid w:val="00750F94"/>
    <w:rsid w:val="00751074"/>
    <w:rsid w:val="007524D6"/>
    <w:rsid w:val="00752750"/>
    <w:rsid w:val="00752B93"/>
    <w:rsid w:val="00752C26"/>
    <w:rsid w:val="007540EF"/>
    <w:rsid w:val="007546BB"/>
    <w:rsid w:val="00754B39"/>
    <w:rsid w:val="0076087F"/>
    <w:rsid w:val="0076132E"/>
    <w:rsid w:val="00765A53"/>
    <w:rsid w:val="00771283"/>
    <w:rsid w:val="00772580"/>
    <w:rsid w:val="0077282F"/>
    <w:rsid w:val="0077511D"/>
    <w:rsid w:val="00775751"/>
    <w:rsid w:val="00776BBB"/>
    <w:rsid w:val="00780EAC"/>
    <w:rsid w:val="0078149F"/>
    <w:rsid w:val="0078236B"/>
    <w:rsid w:val="0078292E"/>
    <w:rsid w:val="00783B41"/>
    <w:rsid w:val="007875AA"/>
    <w:rsid w:val="007918B5"/>
    <w:rsid w:val="00791B5D"/>
    <w:rsid w:val="00795BDF"/>
    <w:rsid w:val="00795D7E"/>
    <w:rsid w:val="007A0DEF"/>
    <w:rsid w:val="007A2DBF"/>
    <w:rsid w:val="007A3D06"/>
    <w:rsid w:val="007B15B9"/>
    <w:rsid w:val="007B30DB"/>
    <w:rsid w:val="007B3D30"/>
    <w:rsid w:val="007B645E"/>
    <w:rsid w:val="007B6C12"/>
    <w:rsid w:val="007C1F7C"/>
    <w:rsid w:val="007C299A"/>
    <w:rsid w:val="007C339E"/>
    <w:rsid w:val="007C3927"/>
    <w:rsid w:val="007C4B7D"/>
    <w:rsid w:val="007D0A20"/>
    <w:rsid w:val="007D2425"/>
    <w:rsid w:val="007D3257"/>
    <w:rsid w:val="007D357D"/>
    <w:rsid w:val="007D7B00"/>
    <w:rsid w:val="007E065A"/>
    <w:rsid w:val="007E0781"/>
    <w:rsid w:val="007E0DE0"/>
    <w:rsid w:val="007E2F9C"/>
    <w:rsid w:val="007E480E"/>
    <w:rsid w:val="007E777A"/>
    <w:rsid w:val="007F3B7F"/>
    <w:rsid w:val="007F448E"/>
    <w:rsid w:val="007F59A4"/>
    <w:rsid w:val="007F6F00"/>
    <w:rsid w:val="00803875"/>
    <w:rsid w:val="00803F6F"/>
    <w:rsid w:val="00804A6E"/>
    <w:rsid w:val="00807730"/>
    <w:rsid w:val="00807D2F"/>
    <w:rsid w:val="00807F2D"/>
    <w:rsid w:val="0081022C"/>
    <w:rsid w:val="008117E0"/>
    <w:rsid w:val="00811AE8"/>
    <w:rsid w:val="00813AC1"/>
    <w:rsid w:val="0082528E"/>
    <w:rsid w:val="008256EB"/>
    <w:rsid w:val="008260CB"/>
    <w:rsid w:val="00831BF9"/>
    <w:rsid w:val="00832653"/>
    <w:rsid w:val="0083460D"/>
    <w:rsid w:val="00840420"/>
    <w:rsid w:val="008409CD"/>
    <w:rsid w:val="00840ACF"/>
    <w:rsid w:val="008467D2"/>
    <w:rsid w:val="00850FE1"/>
    <w:rsid w:val="008526DF"/>
    <w:rsid w:val="00852DBD"/>
    <w:rsid w:val="00852FD5"/>
    <w:rsid w:val="0085508A"/>
    <w:rsid w:val="0085797A"/>
    <w:rsid w:val="0086130E"/>
    <w:rsid w:val="00861C9E"/>
    <w:rsid w:val="00862E73"/>
    <w:rsid w:val="008640EA"/>
    <w:rsid w:val="008655A3"/>
    <w:rsid w:val="008662DD"/>
    <w:rsid w:val="00867AC2"/>
    <w:rsid w:val="00873485"/>
    <w:rsid w:val="00874303"/>
    <w:rsid w:val="00876591"/>
    <w:rsid w:val="00881510"/>
    <w:rsid w:val="00881553"/>
    <w:rsid w:val="008817D8"/>
    <w:rsid w:val="008857D9"/>
    <w:rsid w:val="00885903"/>
    <w:rsid w:val="00885BB2"/>
    <w:rsid w:val="0088657D"/>
    <w:rsid w:val="008876AC"/>
    <w:rsid w:val="0089287F"/>
    <w:rsid w:val="008A15C0"/>
    <w:rsid w:val="008A2263"/>
    <w:rsid w:val="008A306C"/>
    <w:rsid w:val="008A47C9"/>
    <w:rsid w:val="008A557B"/>
    <w:rsid w:val="008A61FB"/>
    <w:rsid w:val="008A62C8"/>
    <w:rsid w:val="008B0929"/>
    <w:rsid w:val="008B0DDD"/>
    <w:rsid w:val="008B114A"/>
    <w:rsid w:val="008B224A"/>
    <w:rsid w:val="008B6D4A"/>
    <w:rsid w:val="008C7364"/>
    <w:rsid w:val="008D0778"/>
    <w:rsid w:val="008D262F"/>
    <w:rsid w:val="008D436F"/>
    <w:rsid w:val="008D52C4"/>
    <w:rsid w:val="008D7695"/>
    <w:rsid w:val="008D785A"/>
    <w:rsid w:val="008E1091"/>
    <w:rsid w:val="008E2FD2"/>
    <w:rsid w:val="008E3E5C"/>
    <w:rsid w:val="008E6074"/>
    <w:rsid w:val="008E75A4"/>
    <w:rsid w:val="008E7F04"/>
    <w:rsid w:val="008F0D4D"/>
    <w:rsid w:val="008F0DCC"/>
    <w:rsid w:val="008F0E1B"/>
    <w:rsid w:val="008F21E5"/>
    <w:rsid w:val="008F29CB"/>
    <w:rsid w:val="00902013"/>
    <w:rsid w:val="0090282F"/>
    <w:rsid w:val="00903BAD"/>
    <w:rsid w:val="009043D4"/>
    <w:rsid w:val="00904F44"/>
    <w:rsid w:val="009050AB"/>
    <w:rsid w:val="0090675B"/>
    <w:rsid w:val="009130F3"/>
    <w:rsid w:val="009134DA"/>
    <w:rsid w:val="009140AC"/>
    <w:rsid w:val="00914973"/>
    <w:rsid w:val="009162F2"/>
    <w:rsid w:val="00917EC3"/>
    <w:rsid w:val="0092306A"/>
    <w:rsid w:val="009234AA"/>
    <w:rsid w:val="009236D6"/>
    <w:rsid w:val="0092393F"/>
    <w:rsid w:val="00924982"/>
    <w:rsid w:val="00924CD7"/>
    <w:rsid w:val="00926203"/>
    <w:rsid w:val="00927629"/>
    <w:rsid w:val="0092775E"/>
    <w:rsid w:val="009310E4"/>
    <w:rsid w:val="00931AD0"/>
    <w:rsid w:val="00932BD7"/>
    <w:rsid w:val="00935648"/>
    <w:rsid w:val="00936756"/>
    <w:rsid w:val="0093706C"/>
    <w:rsid w:val="00941EB7"/>
    <w:rsid w:val="00943CC5"/>
    <w:rsid w:val="00944A51"/>
    <w:rsid w:val="00945A33"/>
    <w:rsid w:val="009544B3"/>
    <w:rsid w:val="00955099"/>
    <w:rsid w:val="0096331A"/>
    <w:rsid w:val="00966C09"/>
    <w:rsid w:val="00967581"/>
    <w:rsid w:val="00967A03"/>
    <w:rsid w:val="00970668"/>
    <w:rsid w:val="00972DF7"/>
    <w:rsid w:val="0097369F"/>
    <w:rsid w:val="0097515F"/>
    <w:rsid w:val="0098262B"/>
    <w:rsid w:val="009836D9"/>
    <w:rsid w:val="00984AC5"/>
    <w:rsid w:val="00985098"/>
    <w:rsid w:val="00991DEF"/>
    <w:rsid w:val="00993226"/>
    <w:rsid w:val="0099374A"/>
    <w:rsid w:val="009963BA"/>
    <w:rsid w:val="00997F4D"/>
    <w:rsid w:val="009A04FB"/>
    <w:rsid w:val="009A1DBB"/>
    <w:rsid w:val="009A7725"/>
    <w:rsid w:val="009A79F6"/>
    <w:rsid w:val="009B22AA"/>
    <w:rsid w:val="009B2C20"/>
    <w:rsid w:val="009B4861"/>
    <w:rsid w:val="009B4FEF"/>
    <w:rsid w:val="009B69A9"/>
    <w:rsid w:val="009B7BE9"/>
    <w:rsid w:val="009C2804"/>
    <w:rsid w:val="009C3135"/>
    <w:rsid w:val="009C673F"/>
    <w:rsid w:val="009C6DE8"/>
    <w:rsid w:val="009C74F7"/>
    <w:rsid w:val="009D061D"/>
    <w:rsid w:val="009D0E19"/>
    <w:rsid w:val="009D24AE"/>
    <w:rsid w:val="009D32CB"/>
    <w:rsid w:val="009D4BBC"/>
    <w:rsid w:val="009D5DFD"/>
    <w:rsid w:val="009D70BF"/>
    <w:rsid w:val="009D7443"/>
    <w:rsid w:val="009D7FD7"/>
    <w:rsid w:val="009E1847"/>
    <w:rsid w:val="009E2B9D"/>
    <w:rsid w:val="009E4655"/>
    <w:rsid w:val="009E5B6C"/>
    <w:rsid w:val="009E5C8B"/>
    <w:rsid w:val="009E7FBC"/>
    <w:rsid w:val="009F46C1"/>
    <w:rsid w:val="009F6098"/>
    <w:rsid w:val="009F7F13"/>
    <w:rsid w:val="00A0097E"/>
    <w:rsid w:val="00A0104A"/>
    <w:rsid w:val="00A0359B"/>
    <w:rsid w:val="00A038C9"/>
    <w:rsid w:val="00A039A1"/>
    <w:rsid w:val="00A05BC6"/>
    <w:rsid w:val="00A07958"/>
    <w:rsid w:val="00A10F5A"/>
    <w:rsid w:val="00A11982"/>
    <w:rsid w:val="00A12C2B"/>
    <w:rsid w:val="00A12DA9"/>
    <w:rsid w:val="00A15808"/>
    <w:rsid w:val="00A1721D"/>
    <w:rsid w:val="00A20B56"/>
    <w:rsid w:val="00A257A0"/>
    <w:rsid w:val="00A27A25"/>
    <w:rsid w:val="00A27AC8"/>
    <w:rsid w:val="00A3027C"/>
    <w:rsid w:val="00A340DF"/>
    <w:rsid w:val="00A4237B"/>
    <w:rsid w:val="00A42698"/>
    <w:rsid w:val="00A427D3"/>
    <w:rsid w:val="00A43174"/>
    <w:rsid w:val="00A47DF5"/>
    <w:rsid w:val="00A51529"/>
    <w:rsid w:val="00A52137"/>
    <w:rsid w:val="00A542AC"/>
    <w:rsid w:val="00A55B2F"/>
    <w:rsid w:val="00A56015"/>
    <w:rsid w:val="00A561B2"/>
    <w:rsid w:val="00A62516"/>
    <w:rsid w:val="00A62F6C"/>
    <w:rsid w:val="00A63153"/>
    <w:rsid w:val="00A6343E"/>
    <w:rsid w:val="00A63499"/>
    <w:rsid w:val="00A63993"/>
    <w:rsid w:val="00A65E67"/>
    <w:rsid w:val="00A6634D"/>
    <w:rsid w:val="00A665C5"/>
    <w:rsid w:val="00A67665"/>
    <w:rsid w:val="00A726B0"/>
    <w:rsid w:val="00A72CE1"/>
    <w:rsid w:val="00A73E9C"/>
    <w:rsid w:val="00A75C93"/>
    <w:rsid w:val="00A80F5E"/>
    <w:rsid w:val="00A830A6"/>
    <w:rsid w:val="00A840C9"/>
    <w:rsid w:val="00A84BC6"/>
    <w:rsid w:val="00A84F8D"/>
    <w:rsid w:val="00A85B53"/>
    <w:rsid w:val="00A91723"/>
    <w:rsid w:val="00A9410D"/>
    <w:rsid w:val="00A94727"/>
    <w:rsid w:val="00AA20D4"/>
    <w:rsid w:val="00AA3A3D"/>
    <w:rsid w:val="00AB0C97"/>
    <w:rsid w:val="00AB2362"/>
    <w:rsid w:val="00AB2AAE"/>
    <w:rsid w:val="00AB38CA"/>
    <w:rsid w:val="00AB6CD4"/>
    <w:rsid w:val="00AC0279"/>
    <w:rsid w:val="00AC0B99"/>
    <w:rsid w:val="00AC11B9"/>
    <w:rsid w:val="00AC1AFC"/>
    <w:rsid w:val="00AC4816"/>
    <w:rsid w:val="00AC6080"/>
    <w:rsid w:val="00AC6928"/>
    <w:rsid w:val="00AC78F4"/>
    <w:rsid w:val="00AC7DA8"/>
    <w:rsid w:val="00AD0977"/>
    <w:rsid w:val="00AD36B4"/>
    <w:rsid w:val="00AD3D05"/>
    <w:rsid w:val="00AD4348"/>
    <w:rsid w:val="00AD498E"/>
    <w:rsid w:val="00AD6DC5"/>
    <w:rsid w:val="00AD7135"/>
    <w:rsid w:val="00AE3B01"/>
    <w:rsid w:val="00AE3B5E"/>
    <w:rsid w:val="00AE696F"/>
    <w:rsid w:val="00AE6996"/>
    <w:rsid w:val="00AF1309"/>
    <w:rsid w:val="00AF483B"/>
    <w:rsid w:val="00AF5BE6"/>
    <w:rsid w:val="00AF6B54"/>
    <w:rsid w:val="00AF779A"/>
    <w:rsid w:val="00B00E2A"/>
    <w:rsid w:val="00B01751"/>
    <w:rsid w:val="00B01A45"/>
    <w:rsid w:val="00B041EA"/>
    <w:rsid w:val="00B050BA"/>
    <w:rsid w:val="00B10876"/>
    <w:rsid w:val="00B115E5"/>
    <w:rsid w:val="00B13D62"/>
    <w:rsid w:val="00B1428E"/>
    <w:rsid w:val="00B15974"/>
    <w:rsid w:val="00B17087"/>
    <w:rsid w:val="00B17D53"/>
    <w:rsid w:val="00B218C9"/>
    <w:rsid w:val="00B22733"/>
    <w:rsid w:val="00B25021"/>
    <w:rsid w:val="00B2511C"/>
    <w:rsid w:val="00B2685C"/>
    <w:rsid w:val="00B31B57"/>
    <w:rsid w:val="00B31C0B"/>
    <w:rsid w:val="00B31F57"/>
    <w:rsid w:val="00B32B52"/>
    <w:rsid w:val="00B33757"/>
    <w:rsid w:val="00B37A2F"/>
    <w:rsid w:val="00B37F68"/>
    <w:rsid w:val="00B40059"/>
    <w:rsid w:val="00B40928"/>
    <w:rsid w:val="00B40D8F"/>
    <w:rsid w:val="00B4324B"/>
    <w:rsid w:val="00B465AC"/>
    <w:rsid w:val="00B47C84"/>
    <w:rsid w:val="00B52ACC"/>
    <w:rsid w:val="00B55325"/>
    <w:rsid w:val="00B5795E"/>
    <w:rsid w:val="00B611C0"/>
    <w:rsid w:val="00B62D9D"/>
    <w:rsid w:val="00B63377"/>
    <w:rsid w:val="00B63EA0"/>
    <w:rsid w:val="00B65405"/>
    <w:rsid w:val="00B659DF"/>
    <w:rsid w:val="00B70B44"/>
    <w:rsid w:val="00B73BE5"/>
    <w:rsid w:val="00B74574"/>
    <w:rsid w:val="00B745C7"/>
    <w:rsid w:val="00B82925"/>
    <w:rsid w:val="00B83379"/>
    <w:rsid w:val="00B8607F"/>
    <w:rsid w:val="00B865D4"/>
    <w:rsid w:val="00B91EB3"/>
    <w:rsid w:val="00B94695"/>
    <w:rsid w:val="00BA2DC6"/>
    <w:rsid w:val="00BA301D"/>
    <w:rsid w:val="00BA44F8"/>
    <w:rsid w:val="00BA61F6"/>
    <w:rsid w:val="00BA7A43"/>
    <w:rsid w:val="00BB1A15"/>
    <w:rsid w:val="00BB411D"/>
    <w:rsid w:val="00BB520A"/>
    <w:rsid w:val="00BB599A"/>
    <w:rsid w:val="00BB7890"/>
    <w:rsid w:val="00BC4B05"/>
    <w:rsid w:val="00BC7180"/>
    <w:rsid w:val="00BD0FB5"/>
    <w:rsid w:val="00BD133F"/>
    <w:rsid w:val="00BD28DD"/>
    <w:rsid w:val="00BD4C2A"/>
    <w:rsid w:val="00BD4FAF"/>
    <w:rsid w:val="00BD5306"/>
    <w:rsid w:val="00BD7310"/>
    <w:rsid w:val="00BE38F3"/>
    <w:rsid w:val="00BE4892"/>
    <w:rsid w:val="00BE4B6F"/>
    <w:rsid w:val="00BE76E9"/>
    <w:rsid w:val="00BF1010"/>
    <w:rsid w:val="00BF1A64"/>
    <w:rsid w:val="00BF23E2"/>
    <w:rsid w:val="00BF2B1E"/>
    <w:rsid w:val="00BF4237"/>
    <w:rsid w:val="00BF7CC7"/>
    <w:rsid w:val="00C0061F"/>
    <w:rsid w:val="00C023F2"/>
    <w:rsid w:val="00C02537"/>
    <w:rsid w:val="00C03F8F"/>
    <w:rsid w:val="00C04D99"/>
    <w:rsid w:val="00C057AE"/>
    <w:rsid w:val="00C11303"/>
    <w:rsid w:val="00C116A2"/>
    <w:rsid w:val="00C16F59"/>
    <w:rsid w:val="00C205BA"/>
    <w:rsid w:val="00C21D70"/>
    <w:rsid w:val="00C2499C"/>
    <w:rsid w:val="00C25610"/>
    <w:rsid w:val="00C26801"/>
    <w:rsid w:val="00C27E29"/>
    <w:rsid w:val="00C3152A"/>
    <w:rsid w:val="00C3296B"/>
    <w:rsid w:val="00C347AF"/>
    <w:rsid w:val="00C35CFB"/>
    <w:rsid w:val="00C3624E"/>
    <w:rsid w:val="00C40A68"/>
    <w:rsid w:val="00C4129E"/>
    <w:rsid w:val="00C439F6"/>
    <w:rsid w:val="00C44306"/>
    <w:rsid w:val="00C4436C"/>
    <w:rsid w:val="00C46850"/>
    <w:rsid w:val="00C526E2"/>
    <w:rsid w:val="00C539E2"/>
    <w:rsid w:val="00C55CED"/>
    <w:rsid w:val="00C62978"/>
    <w:rsid w:val="00C63284"/>
    <w:rsid w:val="00C64D24"/>
    <w:rsid w:val="00C66AAD"/>
    <w:rsid w:val="00C66FAC"/>
    <w:rsid w:val="00C67B10"/>
    <w:rsid w:val="00C716E0"/>
    <w:rsid w:val="00C720E0"/>
    <w:rsid w:val="00C75A4E"/>
    <w:rsid w:val="00C769E7"/>
    <w:rsid w:val="00C80E15"/>
    <w:rsid w:val="00C81FA5"/>
    <w:rsid w:val="00C839CE"/>
    <w:rsid w:val="00C83A4B"/>
    <w:rsid w:val="00C85F6E"/>
    <w:rsid w:val="00C86904"/>
    <w:rsid w:val="00C90E86"/>
    <w:rsid w:val="00C90F7E"/>
    <w:rsid w:val="00C91FBD"/>
    <w:rsid w:val="00C96273"/>
    <w:rsid w:val="00CA01D7"/>
    <w:rsid w:val="00CA0FB0"/>
    <w:rsid w:val="00CA7024"/>
    <w:rsid w:val="00CA7B38"/>
    <w:rsid w:val="00CB51BC"/>
    <w:rsid w:val="00CB5CD0"/>
    <w:rsid w:val="00CB5DCB"/>
    <w:rsid w:val="00CB6F3D"/>
    <w:rsid w:val="00CC0E95"/>
    <w:rsid w:val="00CC12F5"/>
    <w:rsid w:val="00CC1440"/>
    <w:rsid w:val="00CC514B"/>
    <w:rsid w:val="00CC7083"/>
    <w:rsid w:val="00CC7BF4"/>
    <w:rsid w:val="00CD0514"/>
    <w:rsid w:val="00CD27A5"/>
    <w:rsid w:val="00CD4948"/>
    <w:rsid w:val="00CD5CF9"/>
    <w:rsid w:val="00CD7177"/>
    <w:rsid w:val="00CD7453"/>
    <w:rsid w:val="00CD7D13"/>
    <w:rsid w:val="00CE0623"/>
    <w:rsid w:val="00CE40A8"/>
    <w:rsid w:val="00CE7257"/>
    <w:rsid w:val="00CF1970"/>
    <w:rsid w:val="00CF285A"/>
    <w:rsid w:val="00CF5E44"/>
    <w:rsid w:val="00CF6723"/>
    <w:rsid w:val="00CF7DE2"/>
    <w:rsid w:val="00D0386D"/>
    <w:rsid w:val="00D056D7"/>
    <w:rsid w:val="00D060E9"/>
    <w:rsid w:val="00D10102"/>
    <w:rsid w:val="00D16BBB"/>
    <w:rsid w:val="00D17D2C"/>
    <w:rsid w:val="00D2176C"/>
    <w:rsid w:val="00D232CB"/>
    <w:rsid w:val="00D236BC"/>
    <w:rsid w:val="00D256A5"/>
    <w:rsid w:val="00D31931"/>
    <w:rsid w:val="00D35CA2"/>
    <w:rsid w:val="00D3733D"/>
    <w:rsid w:val="00D420EB"/>
    <w:rsid w:val="00D43208"/>
    <w:rsid w:val="00D45C29"/>
    <w:rsid w:val="00D46756"/>
    <w:rsid w:val="00D50D76"/>
    <w:rsid w:val="00D54BD1"/>
    <w:rsid w:val="00D61002"/>
    <w:rsid w:val="00D62049"/>
    <w:rsid w:val="00D675C8"/>
    <w:rsid w:val="00D67611"/>
    <w:rsid w:val="00D72B8F"/>
    <w:rsid w:val="00D732AD"/>
    <w:rsid w:val="00D771ED"/>
    <w:rsid w:val="00D777FB"/>
    <w:rsid w:val="00D77CC9"/>
    <w:rsid w:val="00D81D05"/>
    <w:rsid w:val="00D83710"/>
    <w:rsid w:val="00D8762E"/>
    <w:rsid w:val="00D87783"/>
    <w:rsid w:val="00D904B4"/>
    <w:rsid w:val="00D905E7"/>
    <w:rsid w:val="00D932AC"/>
    <w:rsid w:val="00D937ED"/>
    <w:rsid w:val="00D969F2"/>
    <w:rsid w:val="00DA08A6"/>
    <w:rsid w:val="00DA101F"/>
    <w:rsid w:val="00DA139B"/>
    <w:rsid w:val="00DA1706"/>
    <w:rsid w:val="00DA20A7"/>
    <w:rsid w:val="00DA3092"/>
    <w:rsid w:val="00DA43AC"/>
    <w:rsid w:val="00DA496C"/>
    <w:rsid w:val="00DA7EDF"/>
    <w:rsid w:val="00DB06B1"/>
    <w:rsid w:val="00DB0931"/>
    <w:rsid w:val="00DB3FC5"/>
    <w:rsid w:val="00DB4D24"/>
    <w:rsid w:val="00DB5C80"/>
    <w:rsid w:val="00DB6F0D"/>
    <w:rsid w:val="00DB7F7C"/>
    <w:rsid w:val="00DC5CB9"/>
    <w:rsid w:val="00DC729A"/>
    <w:rsid w:val="00DC764E"/>
    <w:rsid w:val="00DD0FD6"/>
    <w:rsid w:val="00DD1201"/>
    <w:rsid w:val="00DD12D5"/>
    <w:rsid w:val="00DD170B"/>
    <w:rsid w:val="00DD2465"/>
    <w:rsid w:val="00DD2C4D"/>
    <w:rsid w:val="00DD3B79"/>
    <w:rsid w:val="00DD46B5"/>
    <w:rsid w:val="00DD4886"/>
    <w:rsid w:val="00DD547A"/>
    <w:rsid w:val="00DE1C24"/>
    <w:rsid w:val="00DE3029"/>
    <w:rsid w:val="00DE4679"/>
    <w:rsid w:val="00DE4DA4"/>
    <w:rsid w:val="00DE7AA9"/>
    <w:rsid w:val="00DF1C03"/>
    <w:rsid w:val="00DF3F0E"/>
    <w:rsid w:val="00DF55EB"/>
    <w:rsid w:val="00E02421"/>
    <w:rsid w:val="00E077F4"/>
    <w:rsid w:val="00E10975"/>
    <w:rsid w:val="00E10F6C"/>
    <w:rsid w:val="00E11A05"/>
    <w:rsid w:val="00E11C83"/>
    <w:rsid w:val="00E13729"/>
    <w:rsid w:val="00E147AA"/>
    <w:rsid w:val="00E15B7A"/>
    <w:rsid w:val="00E1653C"/>
    <w:rsid w:val="00E1750A"/>
    <w:rsid w:val="00E2167A"/>
    <w:rsid w:val="00E22296"/>
    <w:rsid w:val="00E25C1D"/>
    <w:rsid w:val="00E26658"/>
    <w:rsid w:val="00E268A1"/>
    <w:rsid w:val="00E30EC7"/>
    <w:rsid w:val="00E32481"/>
    <w:rsid w:val="00E37EF8"/>
    <w:rsid w:val="00E40719"/>
    <w:rsid w:val="00E41586"/>
    <w:rsid w:val="00E418B1"/>
    <w:rsid w:val="00E42015"/>
    <w:rsid w:val="00E42793"/>
    <w:rsid w:val="00E435DC"/>
    <w:rsid w:val="00E43924"/>
    <w:rsid w:val="00E46475"/>
    <w:rsid w:val="00E4685E"/>
    <w:rsid w:val="00E47B9C"/>
    <w:rsid w:val="00E516EF"/>
    <w:rsid w:val="00E551DA"/>
    <w:rsid w:val="00E56585"/>
    <w:rsid w:val="00E601D5"/>
    <w:rsid w:val="00E6186C"/>
    <w:rsid w:val="00E6319D"/>
    <w:rsid w:val="00E63D64"/>
    <w:rsid w:val="00E640BD"/>
    <w:rsid w:val="00E65AC7"/>
    <w:rsid w:val="00E66D6B"/>
    <w:rsid w:val="00E67BF2"/>
    <w:rsid w:val="00E71A5D"/>
    <w:rsid w:val="00E71F27"/>
    <w:rsid w:val="00E76286"/>
    <w:rsid w:val="00E816B8"/>
    <w:rsid w:val="00E8288C"/>
    <w:rsid w:val="00E82D49"/>
    <w:rsid w:val="00E8737B"/>
    <w:rsid w:val="00E91C2C"/>
    <w:rsid w:val="00E930C7"/>
    <w:rsid w:val="00E96BB3"/>
    <w:rsid w:val="00E96ED6"/>
    <w:rsid w:val="00EA1F60"/>
    <w:rsid w:val="00EA21D7"/>
    <w:rsid w:val="00EA27D5"/>
    <w:rsid w:val="00EA2C5E"/>
    <w:rsid w:val="00EA4D1E"/>
    <w:rsid w:val="00EA5817"/>
    <w:rsid w:val="00EA6441"/>
    <w:rsid w:val="00EA75B4"/>
    <w:rsid w:val="00EB0576"/>
    <w:rsid w:val="00EB3FFC"/>
    <w:rsid w:val="00EB4136"/>
    <w:rsid w:val="00EB507D"/>
    <w:rsid w:val="00EB6441"/>
    <w:rsid w:val="00EC06AC"/>
    <w:rsid w:val="00EC5B5F"/>
    <w:rsid w:val="00EC5E73"/>
    <w:rsid w:val="00ED4501"/>
    <w:rsid w:val="00ED58AB"/>
    <w:rsid w:val="00ED75CA"/>
    <w:rsid w:val="00ED79F2"/>
    <w:rsid w:val="00EE0360"/>
    <w:rsid w:val="00EE1477"/>
    <w:rsid w:val="00EE17AC"/>
    <w:rsid w:val="00EE365C"/>
    <w:rsid w:val="00EE4EC7"/>
    <w:rsid w:val="00EE5924"/>
    <w:rsid w:val="00EF56EB"/>
    <w:rsid w:val="00EF6DA9"/>
    <w:rsid w:val="00F01714"/>
    <w:rsid w:val="00F050D9"/>
    <w:rsid w:val="00F05983"/>
    <w:rsid w:val="00F05D30"/>
    <w:rsid w:val="00F06D3A"/>
    <w:rsid w:val="00F06DAD"/>
    <w:rsid w:val="00F1088D"/>
    <w:rsid w:val="00F10C1B"/>
    <w:rsid w:val="00F12448"/>
    <w:rsid w:val="00F17162"/>
    <w:rsid w:val="00F22AC2"/>
    <w:rsid w:val="00F231F3"/>
    <w:rsid w:val="00F2455C"/>
    <w:rsid w:val="00F24EDD"/>
    <w:rsid w:val="00F24EF3"/>
    <w:rsid w:val="00F2719C"/>
    <w:rsid w:val="00F304EC"/>
    <w:rsid w:val="00F30849"/>
    <w:rsid w:val="00F30975"/>
    <w:rsid w:val="00F309BD"/>
    <w:rsid w:val="00F30D41"/>
    <w:rsid w:val="00F314F1"/>
    <w:rsid w:val="00F363B1"/>
    <w:rsid w:val="00F36643"/>
    <w:rsid w:val="00F4018B"/>
    <w:rsid w:val="00F403EA"/>
    <w:rsid w:val="00F42F64"/>
    <w:rsid w:val="00F44763"/>
    <w:rsid w:val="00F44FAD"/>
    <w:rsid w:val="00F466F1"/>
    <w:rsid w:val="00F469D7"/>
    <w:rsid w:val="00F47482"/>
    <w:rsid w:val="00F510EB"/>
    <w:rsid w:val="00F52565"/>
    <w:rsid w:val="00F610DE"/>
    <w:rsid w:val="00F61FFB"/>
    <w:rsid w:val="00F646F9"/>
    <w:rsid w:val="00F656E6"/>
    <w:rsid w:val="00F67B32"/>
    <w:rsid w:val="00F7115D"/>
    <w:rsid w:val="00F72540"/>
    <w:rsid w:val="00F736EE"/>
    <w:rsid w:val="00F76B5A"/>
    <w:rsid w:val="00F76E3D"/>
    <w:rsid w:val="00F8079E"/>
    <w:rsid w:val="00F80A72"/>
    <w:rsid w:val="00F87FEB"/>
    <w:rsid w:val="00F90B82"/>
    <w:rsid w:val="00F91857"/>
    <w:rsid w:val="00F9443D"/>
    <w:rsid w:val="00F95ED0"/>
    <w:rsid w:val="00F97E3D"/>
    <w:rsid w:val="00FA12BA"/>
    <w:rsid w:val="00FA187F"/>
    <w:rsid w:val="00FA2582"/>
    <w:rsid w:val="00FA64C7"/>
    <w:rsid w:val="00FB26F2"/>
    <w:rsid w:val="00FB61C5"/>
    <w:rsid w:val="00FC344A"/>
    <w:rsid w:val="00FC468D"/>
    <w:rsid w:val="00FD10EA"/>
    <w:rsid w:val="00FD2F54"/>
    <w:rsid w:val="00FD327C"/>
    <w:rsid w:val="00FD3F95"/>
    <w:rsid w:val="00FD6ADD"/>
    <w:rsid w:val="00FD6CD3"/>
    <w:rsid w:val="00FE1920"/>
    <w:rsid w:val="00FE5688"/>
    <w:rsid w:val="00FE588E"/>
    <w:rsid w:val="00FE5BCD"/>
    <w:rsid w:val="00FE697C"/>
    <w:rsid w:val="00FF1B05"/>
    <w:rsid w:val="00FF7C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9" Type="http://schemas.openxmlformats.org/officeDocument/2006/relationships/header" Target="header21.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header" Target="header23.xml"/><Relationship Id="rId47" Type="http://schemas.openxmlformats.org/officeDocument/2006/relationships/footer" Target="footer13.xml"/><Relationship Id="rId50" Type="http://schemas.openxmlformats.org/officeDocument/2006/relationships/header" Target="header28.xml"/><Relationship Id="rId55" Type="http://schemas.openxmlformats.org/officeDocument/2006/relationships/footer" Target="footer15.xml"/><Relationship Id="rId63" Type="http://schemas.openxmlformats.org/officeDocument/2006/relationships/header" Target="header3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oter" Target="footer7.xml"/><Relationship Id="rId41" Type="http://schemas.openxmlformats.org/officeDocument/2006/relationships/footer" Target="footer10.xml"/><Relationship Id="rId54" Type="http://schemas.openxmlformats.org/officeDocument/2006/relationships/header" Target="header31.xml"/><Relationship Id="rId62" Type="http://schemas.openxmlformats.org/officeDocument/2006/relationships/header" Target="header3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footer" Target="footer9.xml"/><Relationship Id="rId40" Type="http://schemas.openxmlformats.org/officeDocument/2006/relationships/header" Target="header22.xml"/><Relationship Id="rId45" Type="http://schemas.openxmlformats.org/officeDocument/2006/relationships/header" Target="header24.xml"/><Relationship Id="rId53" Type="http://schemas.openxmlformats.org/officeDocument/2006/relationships/header" Target="header30.xml"/><Relationship Id="rId58" Type="http://schemas.openxmlformats.org/officeDocument/2006/relationships/header" Target="header3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19.xml"/><Relationship Id="rId49" Type="http://schemas.openxmlformats.org/officeDocument/2006/relationships/header" Target="header27.xml"/><Relationship Id="rId57" Type="http://schemas.openxmlformats.org/officeDocument/2006/relationships/header" Target="header33.xml"/><Relationship Id="rId61" Type="http://schemas.openxmlformats.org/officeDocument/2006/relationships/header" Target="header3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5.xml"/><Relationship Id="rId44" Type="http://schemas.openxmlformats.org/officeDocument/2006/relationships/footer" Target="footer12.xml"/><Relationship Id="rId52" Type="http://schemas.openxmlformats.org/officeDocument/2006/relationships/header" Target="header29.xml"/><Relationship Id="rId60" Type="http://schemas.openxmlformats.org/officeDocument/2006/relationships/header" Target="header35.xml"/><Relationship Id="rId65"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8.xml"/><Relationship Id="rId43" Type="http://schemas.openxmlformats.org/officeDocument/2006/relationships/footer" Target="footer11.xml"/><Relationship Id="rId48" Type="http://schemas.openxmlformats.org/officeDocument/2006/relationships/header" Target="header26.xml"/><Relationship Id="rId56" Type="http://schemas.openxmlformats.org/officeDocument/2006/relationships/header" Target="header32.xml"/><Relationship Id="rId64"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footer" Target="footer14.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footer" Target="footer8.xml"/><Relationship Id="rId38" Type="http://schemas.openxmlformats.org/officeDocument/2006/relationships/header" Target="header20.xml"/><Relationship Id="rId46" Type="http://schemas.openxmlformats.org/officeDocument/2006/relationships/header" Target="header25.xml"/><Relationship Id="rId59" Type="http://schemas.openxmlformats.org/officeDocument/2006/relationships/footer" Target="footer16.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71240-16A4-4634-9A5D-ED00069D7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26717</Words>
  <Characters>152289</Characters>
  <Application>Microsoft Office Word</Application>
  <DocSecurity>0</DocSecurity>
  <Lines>1269</Lines>
  <Paragraphs>357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178649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Client-Acer</dc:creator>
  <cp:lastModifiedBy>GSO 11</cp:lastModifiedBy>
  <cp:revision>42</cp:revision>
  <cp:lastPrinted>2021-04-13T04:46:00Z</cp:lastPrinted>
  <dcterms:created xsi:type="dcterms:W3CDTF">2021-03-23T07:04:00Z</dcterms:created>
  <dcterms:modified xsi:type="dcterms:W3CDTF">2021-04-13T04:56:00Z</dcterms:modified>
</cp:coreProperties>
</file>